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27" w:rsidRDefault="00FA4B27" w:rsidP="00FA4B27">
      <w:pPr>
        <w:pStyle w:val="TitleA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6E6549" w:rsidRPr="00F1797A">
        <w:rPr>
          <w:sz w:val="24"/>
          <w:szCs w:val="24"/>
        </w:rPr>
        <w:t>Int</w:t>
      </w:r>
      <w:r>
        <w:rPr>
          <w:sz w:val="24"/>
          <w:szCs w:val="24"/>
        </w:rPr>
        <w:t>erpreting Apocalyptic Literature</w:t>
      </w:r>
    </w:p>
    <w:p w:rsidR="006E6549" w:rsidRPr="00F1797A" w:rsidRDefault="006E6549" w:rsidP="006E6549">
      <w:pPr>
        <w:pStyle w:val="TitleA"/>
        <w:ind w:firstLine="720"/>
        <w:rPr>
          <w:sz w:val="24"/>
          <w:szCs w:val="24"/>
        </w:rPr>
      </w:pPr>
    </w:p>
    <w:p w:rsidR="006E6549" w:rsidRPr="00FA4B27" w:rsidRDefault="006E6549" w:rsidP="006E6549">
      <w:pPr>
        <w:pStyle w:val="ColorfulList-Accent11"/>
        <w:widowControl/>
        <w:numPr>
          <w:ilvl w:val="0"/>
          <w:numId w:val="11"/>
        </w:numPr>
        <w:autoSpaceDE/>
        <w:autoSpaceDN/>
        <w:adjustRightInd/>
        <w:spacing w:after="0"/>
        <w:rPr>
          <w:rFonts w:ascii="Times New Roman" w:hAnsi="Times New Roman"/>
          <w:i w:val="0"/>
        </w:rPr>
      </w:pPr>
      <w:r w:rsidRPr="00FA4B27">
        <w:rPr>
          <w:rFonts w:ascii="Times New Roman" w:hAnsi="Times New Roman"/>
          <w:i w:val="0"/>
        </w:rPr>
        <w:t>Understand background</w:t>
      </w:r>
    </w:p>
    <w:p w:rsidR="006E6549" w:rsidRPr="00FA4B27" w:rsidRDefault="006E6549" w:rsidP="006E6549">
      <w:pPr>
        <w:pStyle w:val="ColorfulList-Accent11"/>
        <w:widowControl/>
        <w:numPr>
          <w:ilvl w:val="1"/>
          <w:numId w:val="11"/>
        </w:numPr>
        <w:autoSpaceDE/>
        <w:autoSpaceDN/>
        <w:adjustRightInd/>
        <w:spacing w:after="0"/>
        <w:rPr>
          <w:rFonts w:ascii="Times New Roman" w:hAnsi="Times New Roman"/>
          <w:i w:val="0"/>
        </w:rPr>
      </w:pPr>
      <w:r w:rsidRPr="00FA4B27">
        <w:rPr>
          <w:rFonts w:ascii="Times New Roman" w:hAnsi="Times New Roman"/>
          <w:i w:val="0"/>
        </w:rPr>
        <w:t>Looking and longing</w:t>
      </w:r>
    </w:p>
    <w:p w:rsidR="006E6549" w:rsidRDefault="006E6549" w:rsidP="006E6549">
      <w:pPr>
        <w:pStyle w:val="ColorfulList-Accent11"/>
        <w:spacing w:after="0"/>
        <w:ind w:left="1800"/>
        <w:rPr>
          <w:rFonts w:ascii="Times New Roman" w:hAnsi="Times New Roman"/>
          <w:i w:val="0"/>
        </w:rPr>
      </w:pPr>
    </w:p>
    <w:p w:rsidR="001F65C1" w:rsidRDefault="001F65C1" w:rsidP="006E6549">
      <w:pPr>
        <w:pStyle w:val="ColorfulList-Accent11"/>
        <w:spacing w:after="0"/>
        <w:ind w:left="1800"/>
        <w:rPr>
          <w:rFonts w:ascii="Times New Roman" w:hAnsi="Times New Roman"/>
          <w:i w:val="0"/>
        </w:rPr>
      </w:pPr>
    </w:p>
    <w:p w:rsidR="001F65C1" w:rsidRPr="00FA4B27" w:rsidRDefault="001F65C1" w:rsidP="006E6549">
      <w:pPr>
        <w:pStyle w:val="ColorfulList-Accent11"/>
        <w:spacing w:after="0"/>
        <w:ind w:left="1800"/>
        <w:rPr>
          <w:rFonts w:ascii="Times New Roman" w:hAnsi="Times New Roman"/>
          <w:i w:val="0"/>
        </w:rPr>
      </w:pPr>
    </w:p>
    <w:p w:rsidR="006E6549" w:rsidRPr="00FA4B27" w:rsidRDefault="006E6549" w:rsidP="006E6549">
      <w:pPr>
        <w:pStyle w:val="ColorfulList-Accent11"/>
        <w:widowControl/>
        <w:numPr>
          <w:ilvl w:val="0"/>
          <w:numId w:val="11"/>
        </w:numPr>
        <w:autoSpaceDE/>
        <w:autoSpaceDN/>
        <w:adjustRightInd/>
        <w:spacing w:after="0"/>
        <w:rPr>
          <w:rFonts w:ascii="Times New Roman" w:hAnsi="Times New Roman"/>
          <w:i w:val="0"/>
        </w:rPr>
      </w:pPr>
      <w:r w:rsidRPr="00FA4B27">
        <w:rPr>
          <w:rFonts w:ascii="Times New Roman" w:hAnsi="Times New Roman"/>
          <w:i w:val="0"/>
        </w:rPr>
        <w:t>Understand genre</w:t>
      </w:r>
    </w:p>
    <w:p w:rsidR="006E6549" w:rsidRPr="00FA4B27" w:rsidRDefault="006E6549" w:rsidP="006E6549">
      <w:pPr>
        <w:pStyle w:val="ColorfulList-Accent11"/>
        <w:widowControl/>
        <w:numPr>
          <w:ilvl w:val="1"/>
          <w:numId w:val="11"/>
        </w:numPr>
        <w:autoSpaceDE/>
        <w:autoSpaceDN/>
        <w:adjustRightInd/>
        <w:spacing w:after="0"/>
        <w:rPr>
          <w:rFonts w:ascii="Times New Roman" w:hAnsi="Times New Roman"/>
          <w:i w:val="0"/>
        </w:rPr>
      </w:pPr>
      <w:r w:rsidRPr="00FA4B27">
        <w:rPr>
          <w:rFonts w:ascii="Times New Roman" w:hAnsi="Times New Roman"/>
          <w:i w:val="0"/>
        </w:rPr>
        <w:t>Multiple genres</w:t>
      </w:r>
    </w:p>
    <w:p w:rsidR="006E6549" w:rsidRPr="00FA4B27" w:rsidRDefault="006E6549" w:rsidP="006E6549">
      <w:pPr>
        <w:pStyle w:val="ColorfulList-Accent11"/>
        <w:widowControl/>
        <w:numPr>
          <w:ilvl w:val="1"/>
          <w:numId w:val="11"/>
        </w:numPr>
        <w:autoSpaceDE/>
        <w:autoSpaceDN/>
        <w:adjustRightInd/>
        <w:spacing w:after="0"/>
        <w:rPr>
          <w:rFonts w:ascii="Times New Roman" w:hAnsi="Times New Roman"/>
          <w:i w:val="0"/>
        </w:rPr>
      </w:pPr>
      <w:r w:rsidRPr="00FA4B27">
        <w:rPr>
          <w:rFonts w:ascii="Times New Roman" w:hAnsi="Times New Roman"/>
          <w:i w:val="0"/>
        </w:rPr>
        <w:t>“Unveil”</w:t>
      </w:r>
    </w:p>
    <w:p w:rsidR="006E6549" w:rsidRPr="00FA4B27" w:rsidRDefault="006E6549" w:rsidP="006E6549">
      <w:pPr>
        <w:pStyle w:val="ColorfulList-Accent11"/>
        <w:widowControl/>
        <w:numPr>
          <w:ilvl w:val="1"/>
          <w:numId w:val="11"/>
        </w:numPr>
        <w:autoSpaceDE/>
        <w:autoSpaceDN/>
        <w:adjustRightInd/>
        <w:spacing w:after="0"/>
        <w:rPr>
          <w:rFonts w:ascii="Times New Roman" w:hAnsi="Times New Roman"/>
          <w:i w:val="0"/>
        </w:rPr>
      </w:pPr>
      <w:r w:rsidRPr="00FA4B27">
        <w:rPr>
          <w:rFonts w:ascii="Times New Roman" w:hAnsi="Times New Roman"/>
          <w:i w:val="0"/>
        </w:rPr>
        <w:t>Symbolic language</w:t>
      </w:r>
    </w:p>
    <w:p w:rsidR="006E6549" w:rsidRDefault="006E6549" w:rsidP="006E6549">
      <w:pPr>
        <w:pStyle w:val="ColorfulList-Accent11"/>
        <w:spacing w:after="0"/>
        <w:ind w:left="1800"/>
        <w:rPr>
          <w:rFonts w:ascii="Times New Roman" w:hAnsi="Times New Roman"/>
          <w:i w:val="0"/>
        </w:rPr>
      </w:pPr>
    </w:p>
    <w:p w:rsidR="001F65C1" w:rsidRPr="00FA4B27" w:rsidRDefault="001F65C1" w:rsidP="006E6549">
      <w:pPr>
        <w:pStyle w:val="ColorfulList-Accent11"/>
        <w:spacing w:after="0"/>
        <w:ind w:left="1800"/>
        <w:rPr>
          <w:rFonts w:ascii="Times New Roman" w:hAnsi="Times New Roman"/>
          <w:i w:val="0"/>
        </w:rPr>
      </w:pPr>
    </w:p>
    <w:p w:rsidR="006E6549" w:rsidRPr="00FA4B27" w:rsidRDefault="006E6549" w:rsidP="006E6549">
      <w:pPr>
        <w:pStyle w:val="ColorfulList-Accent11"/>
        <w:widowControl/>
        <w:numPr>
          <w:ilvl w:val="0"/>
          <w:numId w:val="11"/>
        </w:numPr>
        <w:autoSpaceDE/>
        <w:autoSpaceDN/>
        <w:adjustRightInd/>
        <w:spacing w:after="0"/>
        <w:rPr>
          <w:rFonts w:ascii="Times New Roman" w:hAnsi="Times New Roman"/>
          <w:i w:val="0"/>
        </w:rPr>
      </w:pPr>
      <w:r w:rsidRPr="00FA4B27">
        <w:rPr>
          <w:rFonts w:ascii="Times New Roman" w:hAnsi="Times New Roman"/>
          <w:i w:val="0"/>
        </w:rPr>
        <w:t>Understand purpose</w:t>
      </w:r>
    </w:p>
    <w:p w:rsidR="006E6549" w:rsidRPr="00FA4B27" w:rsidRDefault="006E6549" w:rsidP="006E6549">
      <w:pPr>
        <w:pStyle w:val="ColorfulList-Accent11"/>
        <w:widowControl/>
        <w:numPr>
          <w:ilvl w:val="1"/>
          <w:numId w:val="11"/>
        </w:numPr>
        <w:autoSpaceDE/>
        <w:autoSpaceDN/>
        <w:adjustRightInd/>
        <w:spacing w:after="0"/>
        <w:rPr>
          <w:rFonts w:ascii="Times New Roman" w:hAnsi="Times New Roman"/>
          <w:i w:val="0"/>
        </w:rPr>
      </w:pPr>
      <w:r w:rsidRPr="00FA4B27">
        <w:rPr>
          <w:rFonts w:ascii="Times New Roman" w:hAnsi="Times New Roman"/>
          <w:i w:val="0"/>
        </w:rPr>
        <w:t>To help churches face persecution</w:t>
      </w:r>
    </w:p>
    <w:p w:rsidR="00FA4B27" w:rsidRDefault="00FA4B27" w:rsidP="00FA4B27">
      <w:pPr>
        <w:pStyle w:val="ColorfulList-Accent11"/>
        <w:spacing w:after="0"/>
        <w:ind w:left="0"/>
        <w:rPr>
          <w:rFonts w:ascii="Times New Roman" w:hAnsi="Times New Roman"/>
          <w:i w:val="0"/>
        </w:rPr>
      </w:pPr>
    </w:p>
    <w:p w:rsidR="00FA4B27" w:rsidRPr="00FA4B27" w:rsidRDefault="00FA4B27" w:rsidP="00FA4B27">
      <w:pPr>
        <w:pStyle w:val="ColorfulList-Accent11"/>
        <w:spacing w:after="0"/>
        <w:ind w:left="0"/>
        <w:rPr>
          <w:rFonts w:ascii="Times New Roman" w:hAnsi="Times New Roman"/>
          <w:i w:val="0"/>
        </w:rPr>
      </w:pPr>
    </w:p>
    <w:p w:rsidR="00FA4B27" w:rsidRDefault="00FA4B27" w:rsidP="00FA4B27">
      <w:pPr>
        <w:pStyle w:val="ColorfulList-Accent11"/>
        <w:widowControl/>
        <w:autoSpaceDE/>
        <w:autoSpaceDN/>
        <w:adjustRightInd/>
        <w:spacing w:after="0"/>
        <w:rPr>
          <w:rFonts w:ascii="Times New Roman" w:hAnsi="Times New Roman"/>
          <w:i w:val="0"/>
        </w:rPr>
      </w:pPr>
    </w:p>
    <w:p w:rsidR="00AE6C9B" w:rsidRPr="00B16F41" w:rsidRDefault="00AE6C9B" w:rsidP="002407EA">
      <w:pPr>
        <w:pStyle w:val="TitleA"/>
        <w:pBdr>
          <w:bottom w:val="single" w:sz="6" w:space="1" w:color="auto"/>
        </w:pBdr>
        <w:rPr>
          <w:sz w:val="24"/>
          <w:szCs w:val="24"/>
        </w:rPr>
      </w:pPr>
    </w:p>
    <w:p w:rsidR="00C54601" w:rsidRDefault="00C54601" w:rsidP="00934073">
      <w:pPr>
        <w:widowControl/>
        <w:autoSpaceDE/>
        <w:autoSpaceDN/>
        <w:adjustRightInd/>
        <w:jc w:val="center"/>
        <w:rPr>
          <w:b/>
          <w:i w:val="0"/>
        </w:rPr>
      </w:pPr>
    </w:p>
    <w:p w:rsidR="00C54601" w:rsidRDefault="00C54601" w:rsidP="00934073">
      <w:pPr>
        <w:widowControl/>
        <w:autoSpaceDE/>
        <w:autoSpaceDN/>
        <w:adjustRightInd/>
        <w:jc w:val="center"/>
        <w:rPr>
          <w:b/>
          <w:i w:val="0"/>
        </w:rPr>
      </w:pPr>
    </w:p>
    <w:p w:rsidR="00934073" w:rsidRPr="00934073" w:rsidRDefault="00934073" w:rsidP="00934073">
      <w:pPr>
        <w:widowControl/>
        <w:autoSpaceDE/>
        <w:autoSpaceDN/>
        <w:adjustRightInd/>
        <w:jc w:val="center"/>
        <w:rPr>
          <w:b/>
          <w:i w:val="0"/>
        </w:rPr>
      </w:pPr>
      <w:r w:rsidRPr="00934073">
        <w:rPr>
          <w:b/>
          <w:i w:val="0"/>
        </w:rPr>
        <w:t>How To Study the Bible Schedule</w:t>
      </w:r>
    </w:p>
    <w:p w:rsidR="00934073" w:rsidRPr="00934073" w:rsidRDefault="00934073" w:rsidP="00934073">
      <w:pPr>
        <w:widowControl/>
        <w:autoSpaceDE/>
        <w:autoSpaceDN/>
        <w:adjustRightInd/>
        <w:jc w:val="center"/>
        <w:rPr>
          <w:i w:val="0"/>
        </w:rPr>
      </w:pPr>
    </w:p>
    <w:p w:rsidR="00934073" w:rsidRPr="00934073" w:rsidRDefault="00934073" w:rsidP="00934073">
      <w:pPr>
        <w:widowControl/>
        <w:autoSpaceDE/>
        <w:autoSpaceDN/>
        <w:adjustRightInd/>
        <w:spacing w:after="200"/>
        <w:ind w:left="720"/>
        <w:contextualSpacing/>
        <w:rPr>
          <w:rFonts w:eastAsia="Cambria"/>
          <w:i w:val="0"/>
          <w:color w:val="auto"/>
        </w:rPr>
      </w:pPr>
      <w:r w:rsidRPr="00934073">
        <w:rPr>
          <w:rFonts w:eastAsia="Cambria"/>
          <w:i w:val="0"/>
          <w:color w:val="auto"/>
        </w:rPr>
        <w:t>Class 1: The Inductive Study Method Pt 1</w:t>
      </w:r>
    </w:p>
    <w:p w:rsidR="00934073" w:rsidRPr="00934073" w:rsidRDefault="00934073" w:rsidP="00934073">
      <w:pPr>
        <w:widowControl/>
        <w:autoSpaceDE/>
        <w:autoSpaceDN/>
        <w:adjustRightInd/>
        <w:spacing w:after="200"/>
        <w:ind w:left="720"/>
        <w:contextualSpacing/>
        <w:rPr>
          <w:rFonts w:eastAsia="Cambria"/>
          <w:i w:val="0"/>
          <w:color w:val="auto"/>
        </w:rPr>
      </w:pPr>
    </w:p>
    <w:p w:rsidR="00934073" w:rsidRPr="00934073" w:rsidRDefault="00934073" w:rsidP="00934073">
      <w:pPr>
        <w:widowControl/>
        <w:autoSpaceDE/>
        <w:autoSpaceDN/>
        <w:adjustRightInd/>
        <w:spacing w:after="200"/>
        <w:ind w:left="720"/>
        <w:contextualSpacing/>
        <w:rPr>
          <w:rFonts w:eastAsia="Cambria"/>
          <w:i w:val="0"/>
          <w:color w:val="auto"/>
        </w:rPr>
      </w:pPr>
      <w:r w:rsidRPr="00934073">
        <w:rPr>
          <w:rFonts w:eastAsia="Cambria"/>
          <w:i w:val="0"/>
          <w:color w:val="auto"/>
        </w:rPr>
        <w:t>Class 2: The Inductive Study Method Pt 2</w:t>
      </w:r>
    </w:p>
    <w:p w:rsidR="00934073" w:rsidRPr="00934073" w:rsidRDefault="00934073" w:rsidP="00934073">
      <w:pPr>
        <w:widowControl/>
        <w:autoSpaceDE/>
        <w:autoSpaceDN/>
        <w:adjustRightInd/>
        <w:spacing w:after="200"/>
        <w:ind w:left="720"/>
        <w:contextualSpacing/>
        <w:rPr>
          <w:rFonts w:eastAsia="Cambria"/>
          <w:i w:val="0"/>
          <w:color w:val="auto"/>
        </w:rPr>
      </w:pPr>
    </w:p>
    <w:p w:rsidR="00934073" w:rsidRPr="00934073" w:rsidRDefault="00934073" w:rsidP="00934073">
      <w:pPr>
        <w:widowControl/>
        <w:autoSpaceDE/>
        <w:autoSpaceDN/>
        <w:adjustRightInd/>
        <w:spacing w:after="200"/>
        <w:ind w:firstLine="720"/>
        <w:contextualSpacing/>
        <w:rPr>
          <w:rFonts w:eastAsia="Cambria"/>
          <w:i w:val="0"/>
          <w:color w:val="auto"/>
        </w:rPr>
      </w:pPr>
      <w:r w:rsidRPr="00934073">
        <w:rPr>
          <w:rFonts w:eastAsia="Cambria"/>
          <w:i w:val="0"/>
          <w:color w:val="auto"/>
        </w:rPr>
        <w:t>Class 3: Studying the Old and New Testaments</w:t>
      </w:r>
    </w:p>
    <w:p w:rsidR="00934073" w:rsidRPr="00934073" w:rsidRDefault="00934073" w:rsidP="00934073">
      <w:pPr>
        <w:widowControl/>
        <w:autoSpaceDE/>
        <w:autoSpaceDN/>
        <w:adjustRightInd/>
        <w:spacing w:after="200"/>
        <w:ind w:firstLine="720"/>
        <w:contextualSpacing/>
        <w:rPr>
          <w:rFonts w:eastAsia="Cambria"/>
          <w:i w:val="0"/>
          <w:color w:val="auto"/>
        </w:rPr>
      </w:pPr>
    </w:p>
    <w:p w:rsidR="00934073" w:rsidRPr="00934073" w:rsidRDefault="00934073" w:rsidP="00934073">
      <w:pPr>
        <w:widowControl/>
        <w:autoSpaceDE/>
        <w:autoSpaceDN/>
        <w:adjustRightInd/>
        <w:spacing w:after="200"/>
        <w:ind w:left="720"/>
        <w:contextualSpacing/>
        <w:rPr>
          <w:rFonts w:eastAsia="Cambria"/>
          <w:i w:val="0"/>
          <w:color w:val="auto"/>
        </w:rPr>
      </w:pPr>
      <w:r w:rsidRPr="00934073">
        <w:rPr>
          <w:rFonts w:eastAsia="Cambria"/>
          <w:i w:val="0"/>
          <w:color w:val="auto"/>
        </w:rPr>
        <w:t>Class 4: The Bible’s Genres</w:t>
      </w:r>
    </w:p>
    <w:p w:rsidR="00934073" w:rsidRPr="00934073" w:rsidRDefault="00934073" w:rsidP="00934073">
      <w:pPr>
        <w:widowControl/>
        <w:autoSpaceDE/>
        <w:autoSpaceDN/>
        <w:adjustRightInd/>
        <w:spacing w:after="200"/>
        <w:ind w:left="720"/>
        <w:contextualSpacing/>
        <w:rPr>
          <w:rFonts w:eastAsia="Cambria"/>
          <w:i w:val="0"/>
          <w:color w:val="auto"/>
        </w:rPr>
      </w:pPr>
    </w:p>
    <w:p w:rsidR="00934073" w:rsidRPr="00934073" w:rsidRDefault="00934073" w:rsidP="00934073">
      <w:pPr>
        <w:widowControl/>
        <w:autoSpaceDE/>
        <w:autoSpaceDN/>
        <w:adjustRightInd/>
        <w:spacing w:after="200"/>
        <w:ind w:left="720"/>
        <w:contextualSpacing/>
        <w:rPr>
          <w:rFonts w:eastAsia="Cambria"/>
          <w:i w:val="0"/>
          <w:color w:val="auto"/>
        </w:rPr>
      </w:pPr>
      <w:r w:rsidRPr="00934073">
        <w:rPr>
          <w:rFonts w:eastAsia="Cambria"/>
          <w:i w:val="0"/>
          <w:color w:val="auto"/>
        </w:rPr>
        <w:t xml:space="preserve">Class 5: </w:t>
      </w:r>
      <w:r w:rsidR="00C10EE2" w:rsidRPr="00C10EE2">
        <w:rPr>
          <w:rFonts w:eastAsia="Cambria"/>
          <w:i w:val="0"/>
          <w:color w:val="auto"/>
        </w:rPr>
        <w:t>Using Commentaries &amp; Other Bible Study Tools</w:t>
      </w:r>
      <w:bookmarkStart w:id="0" w:name="_GoBack"/>
      <w:bookmarkEnd w:id="0"/>
    </w:p>
    <w:p w:rsidR="00934073" w:rsidRPr="00934073" w:rsidRDefault="00934073" w:rsidP="00934073">
      <w:pPr>
        <w:widowControl/>
        <w:autoSpaceDE/>
        <w:autoSpaceDN/>
        <w:adjustRightInd/>
        <w:spacing w:after="200"/>
        <w:ind w:left="720"/>
        <w:contextualSpacing/>
        <w:rPr>
          <w:rFonts w:eastAsia="Cambria"/>
          <w:i w:val="0"/>
          <w:color w:val="auto"/>
        </w:rPr>
      </w:pPr>
    </w:p>
    <w:p w:rsidR="00934073" w:rsidRPr="00934073" w:rsidRDefault="00934073" w:rsidP="00934073">
      <w:pPr>
        <w:widowControl/>
        <w:autoSpaceDE/>
        <w:autoSpaceDN/>
        <w:adjustRightInd/>
        <w:spacing w:after="200"/>
        <w:ind w:left="720"/>
        <w:contextualSpacing/>
        <w:rPr>
          <w:rFonts w:eastAsia="Cambria"/>
          <w:i w:val="0"/>
          <w:color w:val="auto"/>
        </w:rPr>
      </w:pPr>
      <w:r w:rsidRPr="00934073">
        <w:rPr>
          <w:rFonts w:eastAsia="Cambria"/>
          <w:i w:val="0"/>
          <w:color w:val="auto"/>
        </w:rPr>
        <w:t>Class 6: Studying Difficult Passages and Familiar Passages</w:t>
      </w:r>
    </w:p>
    <w:p w:rsidR="00934073" w:rsidRPr="00934073" w:rsidRDefault="00934073" w:rsidP="00934073">
      <w:pPr>
        <w:widowControl/>
        <w:autoSpaceDE/>
        <w:autoSpaceDN/>
        <w:adjustRightInd/>
        <w:spacing w:after="200"/>
        <w:ind w:left="720"/>
        <w:contextualSpacing/>
        <w:rPr>
          <w:rFonts w:eastAsia="Cambria"/>
          <w:i w:val="0"/>
          <w:color w:val="auto"/>
        </w:rPr>
      </w:pPr>
    </w:p>
    <w:p w:rsidR="00934073" w:rsidRPr="00934073" w:rsidRDefault="00934073" w:rsidP="00934073">
      <w:pPr>
        <w:widowControl/>
        <w:autoSpaceDE/>
        <w:autoSpaceDN/>
        <w:adjustRightInd/>
        <w:rPr>
          <w:i w:val="0"/>
        </w:rPr>
      </w:pPr>
      <w:r w:rsidRPr="00934073">
        <w:rPr>
          <w:i w:val="0"/>
        </w:rPr>
        <w:t>Further Questions?</w:t>
      </w:r>
    </w:p>
    <w:p w:rsidR="00934073" w:rsidRPr="00934073" w:rsidRDefault="00934073" w:rsidP="00934073">
      <w:pPr>
        <w:widowControl/>
        <w:autoSpaceDE/>
        <w:autoSpaceDN/>
        <w:adjustRightInd/>
        <w:rPr>
          <w:i w:val="0"/>
        </w:rPr>
      </w:pPr>
      <w:r w:rsidRPr="00934073">
        <w:rPr>
          <w:i w:val="0"/>
        </w:rPr>
        <w:t>Feel free to email me, Lyle Wetherston, at lyle.wetherston@capbap.org</w:t>
      </w:r>
    </w:p>
    <w:p w:rsidR="001327BE" w:rsidRPr="00B16F41" w:rsidRDefault="00080018" w:rsidP="008F270C">
      <w:pPr>
        <w:rPr>
          <w:b/>
          <w:i w:val="0"/>
          <w:noProof/>
          <w:sz w:val="28"/>
        </w:rPr>
      </w:pPr>
      <w:r w:rsidRPr="00B16F41">
        <w:rPr>
          <w:b/>
          <w:i w:val="0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8EC7D85" wp14:editId="03982AB7">
            <wp:simplePos x="0" y="0"/>
            <wp:positionH relativeFrom="column">
              <wp:posOffset>3286125</wp:posOffset>
            </wp:positionH>
            <wp:positionV relativeFrom="paragraph">
              <wp:posOffset>-323850</wp:posOffset>
            </wp:positionV>
            <wp:extent cx="1028700" cy="10287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BE" w:rsidRPr="00B16F41">
        <w:rPr>
          <w:b/>
          <w:i w:val="0"/>
          <w:noProof/>
          <w:sz w:val="28"/>
        </w:rPr>
        <w:t>Core Seminars—How to Study the Bible</w:t>
      </w:r>
    </w:p>
    <w:p w:rsidR="001327BE" w:rsidRPr="00B16F41" w:rsidRDefault="001327BE" w:rsidP="008F270C">
      <w:pPr>
        <w:rPr>
          <w:noProof/>
        </w:rPr>
      </w:pPr>
      <w:r w:rsidRPr="00B16F41">
        <w:rPr>
          <w:noProof/>
        </w:rPr>
        <w:t xml:space="preserve">Class </w:t>
      </w:r>
      <w:r w:rsidR="00AF045A">
        <w:rPr>
          <w:noProof/>
        </w:rPr>
        <w:t>4</w:t>
      </w:r>
      <w:r w:rsidRPr="00B16F41">
        <w:rPr>
          <w:noProof/>
        </w:rPr>
        <w:t xml:space="preserve">: </w:t>
      </w:r>
      <w:r w:rsidR="00AF045A">
        <w:rPr>
          <w:noProof/>
        </w:rPr>
        <w:t>The Bible’s Genres</w:t>
      </w:r>
    </w:p>
    <w:p w:rsidR="001327BE" w:rsidRPr="00B16F41" w:rsidRDefault="001327BE" w:rsidP="008F270C">
      <w:pPr>
        <w:rPr>
          <w:i w:val="0"/>
          <w:noProof/>
        </w:rPr>
      </w:pPr>
      <w:r w:rsidRPr="00B16F41">
        <w:rPr>
          <w:i w:val="0"/>
          <w:noProof/>
        </w:rPr>
        <w:tab/>
        <w:t xml:space="preserve">      </w:t>
      </w:r>
    </w:p>
    <w:p w:rsidR="001327BE" w:rsidRPr="00B16F41" w:rsidRDefault="001327BE" w:rsidP="008F270C">
      <w:pPr>
        <w:rPr>
          <w:i w:val="0"/>
          <w:noProof/>
        </w:rPr>
      </w:pPr>
    </w:p>
    <w:p w:rsidR="001327BE" w:rsidRPr="00B16F41" w:rsidRDefault="001327BE" w:rsidP="008F270C">
      <w:pPr>
        <w:rPr>
          <w:i w:val="0"/>
          <w:noProof/>
        </w:rPr>
      </w:pPr>
    </w:p>
    <w:p w:rsidR="00AE6C9B" w:rsidRPr="00934073" w:rsidRDefault="00934073" w:rsidP="008F270C">
      <w:r w:rsidRPr="00934073">
        <w:t>“These are my words that I spoke to you while I was still with you, that everything written about me in the Law of Moses and the Prophets and the Psalms must be fulfilled.”(Luke 24:44)</w:t>
      </w:r>
    </w:p>
    <w:p w:rsidR="00934073" w:rsidRPr="00B16F41" w:rsidRDefault="00934073" w:rsidP="008F270C">
      <w:pPr>
        <w:rPr>
          <w:i w:val="0"/>
        </w:rPr>
      </w:pPr>
    </w:p>
    <w:p w:rsidR="00AE6C9B" w:rsidRPr="00B16F41" w:rsidRDefault="007A08B4" w:rsidP="008F270C">
      <w:pPr>
        <w:pStyle w:val="ListParagraph"/>
        <w:numPr>
          <w:ilvl w:val="0"/>
          <w:numId w:val="4"/>
        </w:numPr>
        <w:rPr>
          <w:i w:val="0"/>
        </w:rPr>
      </w:pPr>
      <w:r w:rsidRPr="00B16F41">
        <w:rPr>
          <w:i w:val="0"/>
        </w:rPr>
        <w:t>What are Biblical Genres?</w:t>
      </w:r>
    </w:p>
    <w:p w:rsidR="00E1372F" w:rsidRPr="00B16F41" w:rsidRDefault="00E1372F" w:rsidP="008F270C">
      <w:pPr>
        <w:rPr>
          <w:i w:val="0"/>
        </w:rPr>
      </w:pPr>
    </w:p>
    <w:p w:rsidR="00E1372F" w:rsidRPr="00B16F41" w:rsidRDefault="00E1372F" w:rsidP="008F270C">
      <w:pPr>
        <w:rPr>
          <w:i w:val="0"/>
        </w:rPr>
      </w:pPr>
    </w:p>
    <w:p w:rsidR="003E5613" w:rsidRPr="00B16F41" w:rsidRDefault="003E5613" w:rsidP="008F270C">
      <w:pPr>
        <w:rPr>
          <w:i w:val="0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90"/>
        <w:gridCol w:w="4370"/>
      </w:tblGrid>
      <w:tr w:rsidR="007A08B4" w:rsidRPr="00B16F41" w:rsidTr="007A08B4">
        <w:trPr>
          <w:cantSplit/>
          <w:trHeight w:val="220"/>
          <w:tblHeader/>
          <w:jc w:val="center"/>
        </w:trPr>
        <w:tc>
          <w:tcPr>
            <w:tcW w:w="6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8B4" w:rsidRPr="00B16F41" w:rsidRDefault="007A08B4" w:rsidP="007A08B4">
            <w:pPr>
              <w:pStyle w:val="Sub-heading"/>
              <w:jc w:val="center"/>
              <w:rPr>
                <w:rFonts w:ascii="Times New Roman" w:hAnsi="Times New Roman"/>
                <w:color w:val="FFFFFF"/>
                <w:szCs w:val="24"/>
              </w:rPr>
            </w:pPr>
            <w:r w:rsidRPr="00B16F41">
              <w:rPr>
                <w:rFonts w:ascii="Times New Roman" w:hAnsi="Times New Roman"/>
                <w:color w:val="FFFFFF"/>
                <w:szCs w:val="24"/>
              </w:rPr>
              <w:t>Biblical Genres</w:t>
            </w:r>
          </w:p>
        </w:tc>
      </w:tr>
      <w:tr w:rsidR="007A08B4" w:rsidRPr="00B16F41" w:rsidTr="0028661A">
        <w:trPr>
          <w:cantSplit/>
          <w:trHeight w:val="22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8B4" w:rsidRPr="00B16F41" w:rsidRDefault="007A08B4" w:rsidP="007A08B4">
            <w:pPr>
              <w:pStyle w:val="Sub-heading"/>
              <w:jc w:val="center"/>
              <w:rPr>
                <w:rFonts w:ascii="Times New Roman" w:hAnsi="Times New Roman"/>
                <w:szCs w:val="24"/>
              </w:rPr>
            </w:pPr>
            <w:r w:rsidRPr="00B16F41">
              <w:rPr>
                <w:rFonts w:ascii="Times New Roman" w:hAnsi="Times New Roman"/>
                <w:szCs w:val="24"/>
              </w:rPr>
              <w:t>Genre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8B4" w:rsidRPr="00B16F41" w:rsidRDefault="007A08B4" w:rsidP="007A08B4">
            <w:pPr>
              <w:pStyle w:val="Sub-heading"/>
              <w:jc w:val="center"/>
              <w:rPr>
                <w:rFonts w:ascii="Times New Roman" w:hAnsi="Times New Roman"/>
                <w:szCs w:val="24"/>
              </w:rPr>
            </w:pPr>
            <w:r w:rsidRPr="00B16F41">
              <w:rPr>
                <w:rFonts w:ascii="Times New Roman" w:hAnsi="Times New Roman"/>
                <w:szCs w:val="24"/>
              </w:rPr>
              <w:t>Book</w:t>
            </w:r>
          </w:p>
        </w:tc>
      </w:tr>
      <w:tr w:rsidR="007A08B4" w:rsidRPr="00B16F41" w:rsidTr="0028661A">
        <w:trPr>
          <w:cantSplit/>
          <w:trHeight w:val="66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Historical/Law Narrative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Genesis, Exodus, Leviticus, Deuteronomy, Numbers, Joshua, Judges, Ruth, I and II Samuel, I and II Kings, I and II Chronicles, Ezra, Nehemiah, Esther, Jonah</w:t>
            </w:r>
          </w:p>
        </w:tc>
      </w:tr>
      <w:tr w:rsidR="007A08B4" w:rsidRPr="00B16F41" w:rsidTr="0028661A">
        <w:trPr>
          <w:cantSplit/>
          <w:trHeight w:val="22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Wisdom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Job, Proverbs, Ecclesiastes</w:t>
            </w:r>
          </w:p>
        </w:tc>
      </w:tr>
      <w:tr w:rsidR="007A08B4" w:rsidRPr="00B16F41" w:rsidTr="0028661A">
        <w:trPr>
          <w:cantSplit/>
          <w:trHeight w:val="22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Poetry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Psalms, Song of Solomon, Lamentations</w:t>
            </w:r>
          </w:p>
        </w:tc>
      </w:tr>
      <w:tr w:rsidR="007A08B4" w:rsidRPr="00B16F41" w:rsidTr="0028661A">
        <w:trPr>
          <w:cantSplit/>
          <w:trHeight w:val="66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Prophecy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Isaiah, Jeremiah, Ezekiel, Daniel, Hosea, Joel, Amos, Obadiah, Micah, Nahum, Habakkuk, Zephaniah, Haggai, Zechariah, Malachi</w:t>
            </w:r>
          </w:p>
        </w:tc>
      </w:tr>
      <w:tr w:rsidR="007A08B4" w:rsidRPr="00B16F41" w:rsidTr="0028661A">
        <w:trPr>
          <w:cantSplit/>
          <w:trHeight w:val="22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Apocalyptic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Daniel, Revelation of John</w:t>
            </w:r>
          </w:p>
        </w:tc>
      </w:tr>
      <w:tr w:rsidR="007A08B4" w:rsidRPr="00B16F41" w:rsidTr="0028661A">
        <w:trPr>
          <w:cantSplit/>
          <w:trHeight w:val="22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Gospel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Matthew, Mark, Luke, John, Acts</w:t>
            </w:r>
          </w:p>
        </w:tc>
      </w:tr>
      <w:tr w:rsidR="007A08B4" w:rsidRPr="00B16F41" w:rsidTr="0028661A">
        <w:trPr>
          <w:cantSplit/>
          <w:trHeight w:val="88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Epistle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08B4" w:rsidRPr="00B16F41" w:rsidRDefault="007A08B4" w:rsidP="008F270C">
            <w:pPr>
              <w:rPr>
                <w:i w:val="0"/>
              </w:rPr>
            </w:pPr>
            <w:r w:rsidRPr="00B16F41">
              <w:rPr>
                <w:i w:val="0"/>
              </w:rPr>
              <w:t>Romans, I and II Corinthians, Galatians, Ephesians, Philippians, Colossians, I and II Thessalonians, I and II Timothy, Titus, Philemon, Hebrews, James, I and II Peter, I, II and III John, Jude</w:t>
            </w:r>
          </w:p>
        </w:tc>
      </w:tr>
    </w:tbl>
    <w:p w:rsidR="000242A0" w:rsidRDefault="007A08B4" w:rsidP="008F270C">
      <w:pPr>
        <w:pStyle w:val="ListParagraph"/>
        <w:numPr>
          <w:ilvl w:val="0"/>
          <w:numId w:val="4"/>
        </w:numPr>
        <w:rPr>
          <w:i w:val="0"/>
        </w:rPr>
      </w:pPr>
      <w:r w:rsidRPr="00B16F41">
        <w:rPr>
          <w:i w:val="0"/>
        </w:rPr>
        <w:lastRenderedPageBreak/>
        <w:t>S</w:t>
      </w:r>
      <w:r w:rsidR="00F865D7">
        <w:rPr>
          <w:i w:val="0"/>
        </w:rPr>
        <w:t>tudying Histories &amp;</w:t>
      </w:r>
      <w:r w:rsidRPr="00B16F41">
        <w:rPr>
          <w:i w:val="0"/>
        </w:rPr>
        <w:t xml:space="preserve"> Narratives</w:t>
      </w:r>
    </w:p>
    <w:p w:rsidR="00F865D7" w:rsidRPr="00F865D7" w:rsidRDefault="00F865D7" w:rsidP="00F865D7">
      <w:pPr>
        <w:ind w:left="468"/>
        <w:rPr>
          <w:i w:val="0"/>
        </w:rPr>
      </w:pPr>
    </w:p>
    <w:p w:rsidR="00F865D7" w:rsidRDefault="00F865D7" w:rsidP="00F865D7">
      <w:pPr>
        <w:rPr>
          <w:i w:val="0"/>
        </w:rPr>
      </w:pPr>
    </w:p>
    <w:p w:rsidR="00F865D7" w:rsidRDefault="00F865D7" w:rsidP="00F865D7">
      <w:pPr>
        <w:rPr>
          <w:i w:val="0"/>
        </w:rPr>
      </w:pPr>
    </w:p>
    <w:p w:rsidR="00F865D7" w:rsidRPr="00F865D7" w:rsidRDefault="00F865D7" w:rsidP="00F865D7">
      <w:pPr>
        <w:rPr>
          <w:i w:val="0"/>
        </w:rPr>
      </w:pPr>
    </w:p>
    <w:p w:rsidR="00F865D7" w:rsidRDefault="00F865D7" w:rsidP="00F865D7">
      <w:pPr>
        <w:pStyle w:val="ListParagraph"/>
        <w:numPr>
          <w:ilvl w:val="1"/>
          <w:numId w:val="4"/>
        </w:numPr>
        <w:rPr>
          <w:i w:val="0"/>
        </w:rPr>
      </w:pPr>
      <w:r>
        <w:rPr>
          <w:i w:val="0"/>
        </w:rPr>
        <w:t>The Bible</w:t>
      </w:r>
      <w:r w:rsidR="00AF045A">
        <w:rPr>
          <w:i w:val="0"/>
        </w:rPr>
        <w:t xml:space="preserve"> primarily</w:t>
      </w:r>
      <w:r>
        <w:rPr>
          <w:i w:val="0"/>
        </w:rPr>
        <w:t xml:space="preserve"> </w:t>
      </w:r>
      <w:r w:rsidR="00AF045A">
        <w:rPr>
          <w:i w:val="0"/>
        </w:rPr>
        <w:t>deals with</w:t>
      </w:r>
      <w:r>
        <w:rPr>
          <w:i w:val="0"/>
        </w:rPr>
        <w:t xml:space="preserve"> three</w:t>
      </w:r>
      <w:r w:rsidR="00AF045A">
        <w:rPr>
          <w:i w:val="0"/>
        </w:rPr>
        <w:t xml:space="preserve"> historical</w:t>
      </w:r>
      <w:r>
        <w:rPr>
          <w:i w:val="0"/>
        </w:rPr>
        <w:t xml:space="preserve"> events:</w:t>
      </w:r>
    </w:p>
    <w:p w:rsidR="00F865D7" w:rsidRDefault="00F865D7" w:rsidP="00F865D7">
      <w:pPr>
        <w:pStyle w:val="ListParagraph"/>
        <w:numPr>
          <w:ilvl w:val="2"/>
          <w:numId w:val="4"/>
        </w:numPr>
        <w:rPr>
          <w:i w:val="0"/>
        </w:rPr>
      </w:pPr>
      <w:r>
        <w:rPr>
          <w:i w:val="0"/>
        </w:rPr>
        <w:t>The Exodus from Egypt</w:t>
      </w:r>
    </w:p>
    <w:p w:rsidR="00F865D7" w:rsidRDefault="00F865D7" w:rsidP="00F865D7">
      <w:pPr>
        <w:pStyle w:val="ListParagraph"/>
        <w:numPr>
          <w:ilvl w:val="2"/>
          <w:numId w:val="4"/>
        </w:numPr>
        <w:rPr>
          <w:i w:val="0"/>
        </w:rPr>
      </w:pPr>
      <w:r>
        <w:rPr>
          <w:i w:val="0"/>
        </w:rPr>
        <w:t xml:space="preserve">The Exile in Babylon </w:t>
      </w:r>
    </w:p>
    <w:p w:rsidR="00F865D7" w:rsidRDefault="00F865D7" w:rsidP="00F865D7">
      <w:pPr>
        <w:pStyle w:val="ListParagraph"/>
        <w:numPr>
          <w:ilvl w:val="2"/>
          <w:numId w:val="4"/>
        </w:numPr>
        <w:rPr>
          <w:i w:val="0"/>
        </w:rPr>
      </w:pPr>
      <w:r>
        <w:rPr>
          <w:i w:val="0"/>
        </w:rPr>
        <w:t>The Inauguration of the Church</w:t>
      </w:r>
    </w:p>
    <w:p w:rsidR="00F865D7" w:rsidRDefault="00F865D7" w:rsidP="00F865D7">
      <w:pPr>
        <w:rPr>
          <w:i w:val="0"/>
        </w:rPr>
      </w:pPr>
    </w:p>
    <w:p w:rsidR="00F865D7" w:rsidRDefault="00F865D7" w:rsidP="00F865D7">
      <w:pPr>
        <w:rPr>
          <w:i w:val="0"/>
        </w:rPr>
      </w:pPr>
    </w:p>
    <w:p w:rsidR="00F865D7" w:rsidRDefault="00F865D7" w:rsidP="00F865D7">
      <w:pPr>
        <w:rPr>
          <w:i w:val="0"/>
        </w:rPr>
      </w:pPr>
    </w:p>
    <w:p w:rsidR="00F865D7" w:rsidRPr="00F865D7" w:rsidRDefault="00F865D7" w:rsidP="00F865D7">
      <w:pPr>
        <w:rPr>
          <w:i w:val="0"/>
        </w:rPr>
      </w:pPr>
    </w:p>
    <w:p w:rsidR="00F865D7" w:rsidRDefault="00F865D7" w:rsidP="00F865D7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Wisdom and Poetic Writings </w:t>
      </w:r>
    </w:p>
    <w:p w:rsidR="003A3C42" w:rsidRDefault="003A3C42" w:rsidP="003A3C42">
      <w:pPr>
        <w:rPr>
          <w:i w:val="0"/>
        </w:rPr>
      </w:pPr>
    </w:p>
    <w:p w:rsidR="003A3C42" w:rsidRDefault="003A3C42" w:rsidP="003A3C42">
      <w:pPr>
        <w:rPr>
          <w:i w:val="0"/>
        </w:rPr>
      </w:pPr>
    </w:p>
    <w:p w:rsidR="003A3C42" w:rsidRPr="003A3C42" w:rsidRDefault="003A3C42" w:rsidP="003A3C42">
      <w:pPr>
        <w:rPr>
          <w:i w:val="0"/>
        </w:rPr>
      </w:pPr>
    </w:p>
    <w:p w:rsidR="003A3C42" w:rsidRPr="009B11F3" w:rsidRDefault="00FD7893" w:rsidP="003A3C42">
      <w:pPr>
        <w:pStyle w:val="ListParagraph"/>
        <w:numPr>
          <w:ilvl w:val="1"/>
          <w:numId w:val="4"/>
        </w:numPr>
        <w:rPr>
          <w:i w:val="0"/>
        </w:rPr>
      </w:pPr>
      <w:r>
        <w:rPr>
          <w:i w:val="0"/>
        </w:rPr>
        <w:t>What is wisdom literature?</w:t>
      </w:r>
    </w:p>
    <w:p w:rsidR="003A3C42" w:rsidRDefault="003A3C42" w:rsidP="003A3C42">
      <w:pPr>
        <w:pStyle w:val="ListParagraph"/>
        <w:numPr>
          <w:ilvl w:val="2"/>
          <w:numId w:val="4"/>
        </w:numPr>
        <w:rPr>
          <w:i w:val="0"/>
        </w:rPr>
      </w:pPr>
      <w:r>
        <w:rPr>
          <w:i w:val="0"/>
        </w:rPr>
        <w:t>Proverbial Wisdom</w:t>
      </w:r>
    </w:p>
    <w:p w:rsidR="003A3C42" w:rsidRDefault="003A3C42" w:rsidP="003A3C42">
      <w:pPr>
        <w:pStyle w:val="ListParagraph"/>
        <w:numPr>
          <w:ilvl w:val="2"/>
          <w:numId w:val="4"/>
        </w:numPr>
        <w:rPr>
          <w:i w:val="0"/>
        </w:rPr>
      </w:pPr>
      <w:r>
        <w:rPr>
          <w:i w:val="0"/>
        </w:rPr>
        <w:t xml:space="preserve">Speculative Wisdom </w:t>
      </w:r>
      <w:r>
        <w:rPr>
          <w:i w:val="0"/>
        </w:rPr>
        <w:br/>
      </w:r>
    </w:p>
    <w:p w:rsidR="003A3C42" w:rsidRDefault="003A3C42" w:rsidP="003A3C42">
      <w:pPr>
        <w:rPr>
          <w:i w:val="0"/>
        </w:rPr>
      </w:pPr>
    </w:p>
    <w:p w:rsidR="00F865D7" w:rsidRPr="003A3C42" w:rsidRDefault="003A3C42" w:rsidP="003A3C42">
      <w:pPr>
        <w:rPr>
          <w:i w:val="0"/>
        </w:rPr>
      </w:pPr>
      <w:r w:rsidRPr="003A3C42">
        <w:rPr>
          <w:i w:val="0"/>
        </w:rPr>
        <w:br/>
      </w:r>
    </w:p>
    <w:p w:rsidR="00FD7893" w:rsidRDefault="00FD7893" w:rsidP="00FD7893">
      <w:pPr>
        <w:pStyle w:val="ListParagraph"/>
        <w:numPr>
          <w:ilvl w:val="1"/>
          <w:numId w:val="4"/>
        </w:numPr>
        <w:rPr>
          <w:i w:val="0"/>
        </w:rPr>
      </w:pPr>
      <w:r>
        <w:rPr>
          <w:i w:val="0"/>
        </w:rPr>
        <w:t xml:space="preserve">What is poetic literature? </w:t>
      </w:r>
      <w:r w:rsidR="00DD23E0">
        <w:rPr>
          <w:i w:val="0"/>
        </w:rPr>
        <w:br/>
      </w:r>
      <w:r>
        <w:rPr>
          <w:i w:val="0"/>
        </w:rPr>
        <w:br/>
      </w:r>
      <w:r>
        <w:rPr>
          <w:i w:val="0"/>
        </w:rPr>
        <w:br/>
      </w:r>
      <w:r>
        <w:rPr>
          <w:i w:val="0"/>
        </w:rPr>
        <w:br/>
      </w:r>
    </w:p>
    <w:p w:rsidR="00FD7893" w:rsidRDefault="00FD7893" w:rsidP="00FD7893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The Gospels (and Acts) </w:t>
      </w:r>
    </w:p>
    <w:p w:rsidR="00DD23E0" w:rsidRDefault="00DD23E0" w:rsidP="00DD23E0">
      <w:pPr>
        <w:rPr>
          <w:i w:val="0"/>
        </w:rPr>
      </w:pPr>
    </w:p>
    <w:p w:rsidR="00DD23E0" w:rsidRDefault="00DD23E0" w:rsidP="00DD23E0">
      <w:pPr>
        <w:rPr>
          <w:i w:val="0"/>
        </w:rPr>
      </w:pPr>
    </w:p>
    <w:p w:rsidR="00DD23E0" w:rsidRPr="00DD23E0" w:rsidRDefault="00DD23E0" w:rsidP="00DD23E0">
      <w:pPr>
        <w:rPr>
          <w:i w:val="0"/>
        </w:rPr>
      </w:pPr>
    </w:p>
    <w:p w:rsidR="00DD23E0" w:rsidRDefault="00DD23E0" w:rsidP="00DD23E0">
      <w:pPr>
        <w:pStyle w:val="ListParagraph"/>
        <w:numPr>
          <w:ilvl w:val="1"/>
          <w:numId w:val="4"/>
        </w:numPr>
        <w:rPr>
          <w:i w:val="0"/>
        </w:rPr>
      </w:pPr>
      <w:r>
        <w:rPr>
          <w:i w:val="0"/>
        </w:rPr>
        <w:t>Genre, Chronology, and Harmony</w:t>
      </w:r>
    </w:p>
    <w:p w:rsidR="00DD23E0" w:rsidRDefault="00DD23E0" w:rsidP="00DD23E0">
      <w:pPr>
        <w:rPr>
          <w:i w:val="0"/>
        </w:rPr>
      </w:pPr>
    </w:p>
    <w:p w:rsidR="00DD23E0" w:rsidRDefault="00DD23E0" w:rsidP="00DD23E0">
      <w:pPr>
        <w:rPr>
          <w:i w:val="0"/>
        </w:rPr>
      </w:pPr>
    </w:p>
    <w:p w:rsidR="009B11F3" w:rsidRDefault="009B11F3" w:rsidP="00DD23E0">
      <w:pPr>
        <w:rPr>
          <w:i w:val="0"/>
        </w:rPr>
      </w:pPr>
    </w:p>
    <w:p w:rsidR="009D67B6" w:rsidRDefault="009D67B6" w:rsidP="00DD23E0">
      <w:pPr>
        <w:rPr>
          <w:i w:val="0"/>
        </w:rPr>
      </w:pPr>
    </w:p>
    <w:p w:rsidR="00DD23E0" w:rsidRPr="00DD23E0" w:rsidRDefault="00DD23E0" w:rsidP="00DD23E0">
      <w:pPr>
        <w:rPr>
          <w:i w:val="0"/>
        </w:rPr>
      </w:pPr>
    </w:p>
    <w:p w:rsidR="00FD7893" w:rsidRDefault="00DD23E0" w:rsidP="00FD7893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 The Epistles </w:t>
      </w:r>
      <w:r w:rsidR="009D67B6">
        <w:rPr>
          <w:i w:val="0"/>
        </w:rPr>
        <w:br/>
      </w:r>
      <w:r w:rsidR="009D67B6">
        <w:rPr>
          <w:i w:val="0"/>
        </w:rPr>
        <w:br/>
      </w:r>
    </w:p>
    <w:p w:rsidR="009D67B6" w:rsidRDefault="009D67B6" w:rsidP="009D67B6">
      <w:pPr>
        <w:pStyle w:val="ListParagraph"/>
        <w:numPr>
          <w:ilvl w:val="1"/>
          <w:numId w:val="4"/>
        </w:numPr>
        <w:rPr>
          <w:i w:val="0"/>
        </w:rPr>
      </w:pPr>
      <w:r>
        <w:rPr>
          <w:i w:val="0"/>
        </w:rPr>
        <w:t xml:space="preserve">Structured in three parts: </w:t>
      </w:r>
    </w:p>
    <w:p w:rsidR="009D67B6" w:rsidRDefault="009D67B6" w:rsidP="009D67B6">
      <w:pPr>
        <w:pStyle w:val="ListParagraph"/>
        <w:numPr>
          <w:ilvl w:val="2"/>
          <w:numId w:val="4"/>
        </w:numPr>
        <w:rPr>
          <w:i w:val="0"/>
        </w:rPr>
      </w:pPr>
      <w:r>
        <w:rPr>
          <w:i w:val="0"/>
        </w:rPr>
        <w:t>Opening</w:t>
      </w:r>
    </w:p>
    <w:p w:rsidR="009D67B6" w:rsidRDefault="009D67B6" w:rsidP="009D67B6">
      <w:pPr>
        <w:pStyle w:val="ListParagraph"/>
        <w:numPr>
          <w:ilvl w:val="2"/>
          <w:numId w:val="4"/>
        </w:numPr>
        <w:rPr>
          <w:i w:val="0"/>
        </w:rPr>
      </w:pPr>
      <w:r>
        <w:rPr>
          <w:i w:val="0"/>
        </w:rPr>
        <w:t>Body</w:t>
      </w:r>
    </w:p>
    <w:p w:rsidR="009D67B6" w:rsidRDefault="009D67B6" w:rsidP="009D67B6">
      <w:pPr>
        <w:pStyle w:val="ListParagraph"/>
        <w:numPr>
          <w:ilvl w:val="2"/>
          <w:numId w:val="4"/>
        </w:numPr>
        <w:rPr>
          <w:i w:val="0"/>
        </w:rPr>
      </w:pPr>
      <w:r>
        <w:rPr>
          <w:i w:val="0"/>
        </w:rPr>
        <w:t>Closing</w:t>
      </w:r>
      <w:r>
        <w:rPr>
          <w:i w:val="0"/>
        </w:rPr>
        <w:br/>
      </w:r>
      <w:r>
        <w:rPr>
          <w:i w:val="0"/>
        </w:rPr>
        <w:br/>
      </w:r>
      <w:r w:rsidR="006E6549">
        <w:rPr>
          <w:i w:val="0"/>
        </w:rPr>
        <w:br/>
      </w:r>
      <w:r w:rsidR="006E6549">
        <w:rPr>
          <w:i w:val="0"/>
        </w:rPr>
        <w:br/>
      </w:r>
    </w:p>
    <w:p w:rsidR="009D67B6" w:rsidRDefault="009D67B6" w:rsidP="009D67B6">
      <w:pPr>
        <w:pStyle w:val="ListParagraph"/>
        <w:numPr>
          <w:ilvl w:val="1"/>
          <w:numId w:val="4"/>
        </w:numPr>
        <w:rPr>
          <w:i w:val="0"/>
        </w:rPr>
      </w:pPr>
      <w:r>
        <w:rPr>
          <w:i w:val="0"/>
        </w:rPr>
        <w:t xml:space="preserve">Studying Epistles: </w:t>
      </w:r>
    </w:p>
    <w:p w:rsidR="009D67B6" w:rsidRDefault="009D67B6" w:rsidP="009D67B6">
      <w:pPr>
        <w:pStyle w:val="ListParagraph"/>
        <w:numPr>
          <w:ilvl w:val="2"/>
          <w:numId w:val="4"/>
        </w:numPr>
        <w:rPr>
          <w:i w:val="0"/>
        </w:rPr>
      </w:pPr>
      <w:r>
        <w:rPr>
          <w:i w:val="0"/>
        </w:rPr>
        <w:t xml:space="preserve">We often have one side of the conversation </w:t>
      </w:r>
    </w:p>
    <w:p w:rsidR="009D67B6" w:rsidRPr="006E6549" w:rsidRDefault="009D67B6" w:rsidP="006E6549">
      <w:pPr>
        <w:pStyle w:val="ListParagraph"/>
        <w:numPr>
          <w:ilvl w:val="2"/>
          <w:numId w:val="4"/>
        </w:numPr>
        <w:rPr>
          <w:i w:val="0"/>
        </w:rPr>
      </w:pPr>
      <w:r>
        <w:rPr>
          <w:i w:val="0"/>
        </w:rPr>
        <w:t>Balancing original and modern audience</w:t>
      </w:r>
      <w:r w:rsidR="006E6549" w:rsidRPr="006E6549">
        <w:rPr>
          <w:i w:val="0"/>
        </w:rPr>
        <w:br/>
      </w:r>
      <w:r w:rsidRPr="006E6549">
        <w:rPr>
          <w:i w:val="0"/>
        </w:rPr>
        <w:br/>
      </w:r>
      <w:r w:rsidRPr="006E6549">
        <w:rPr>
          <w:i w:val="0"/>
        </w:rPr>
        <w:br/>
      </w:r>
    </w:p>
    <w:p w:rsidR="009D67B6" w:rsidRDefault="009D67B6" w:rsidP="009D67B6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Prophetic and Apocalyptic Literature </w:t>
      </w:r>
      <w:r w:rsidR="006E6549">
        <w:rPr>
          <w:i w:val="0"/>
        </w:rPr>
        <w:br/>
      </w:r>
    </w:p>
    <w:p w:rsidR="006E6549" w:rsidRDefault="006E6549" w:rsidP="006E6549">
      <w:pPr>
        <w:pStyle w:val="ListParagraph"/>
        <w:numPr>
          <w:ilvl w:val="1"/>
          <w:numId w:val="4"/>
        </w:numPr>
        <w:rPr>
          <w:i w:val="0"/>
        </w:rPr>
      </w:pPr>
      <w:r>
        <w:rPr>
          <w:i w:val="0"/>
        </w:rPr>
        <w:t>Interpreting the prophets</w:t>
      </w:r>
      <w:r>
        <w:rPr>
          <w:i w:val="0"/>
        </w:rPr>
        <w:br/>
      </w:r>
    </w:p>
    <w:p w:rsidR="006E6549" w:rsidRPr="006E6549" w:rsidRDefault="006E6549" w:rsidP="006E6549">
      <w:pPr>
        <w:pStyle w:val="ListParagraph"/>
        <w:numPr>
          <w:ilvl w:val="2"/>
          <w:numId w:val="4"/>
        </w:numPr>
        <w:rPr>
          <w:i w:val="0"/>
        </w:rPr>
      </w:pPr>
      <w:r w:rsidRPr="006E6549">
        <w:rPr>
          <w:i w:val="0"/>
        </w:rPr>
        <w:t>Discern the immediate context –structure and flow</w:t>
      </w:r>
    </w:p>
    <w:p w:rsidR="006E6549" w:rsidRPr="006E6549" w:rsidRDefault="006E6549" w:rsidP="006E6549">
      <w:pPr>
        <w:pStyle w:val="ListParagraph"/>
        <w:numPr>
          <w:ilvl w:val="2"/>
          <w:numId w:val="4"/>
        </w:numPr>
        <w:rPr>
          <w:i w:val="0"/>
        </w:rPr>
      </w:pPr>
      <w:r w:rsidRPr="006E6549">
        <w:rPr>
          <w:i w:val="0"/>
        </w:rPr>
        <w:t>Discern the kind of oracle employed (judgment, salvation, or something else).</w:t>
      </w:r>
    </w:p>
    <w:p w:rsidR="006E6549" w:rsidRPr="006E6549" w:rsidRDefault="006E6549" w:rsidP="006E6549">
      <w:pPr>
        <w:pStyle w:val="ListParagraph"/>
        <w:numPr>
          <w:ilvl w:val="2"/>
          <w:numId w:val="4"/>
        </w:numPr>
        <w:rPr>
          <w:i w:val="0"/>
        </w:rPr>
      </w:pPr>
      <w:r w:rsidRPr="006E6549">
        <w:rPr>
          <w:i w:val="0"/>
        </w:rPr>
        <w:t xml:space="preserve">Study the balance between forth-telling and foretelling  </w:t>
      </w:r>
    </w:p>
    <w:p w:rsidR="006E6549" w:rsidRPr="006E6549" w:rsidRDefault="006E6549" w:rsidP="006E6549">
      <w:pPr>
        <w:pStyle w:val="ListParagraph"/>
        <w:numPr>
          <w:ilvl w:val="2"/>
          <w:numId w:val="4"/>
        </w:numPr>
        <w:rPr>
          <w:i w:val="0"/>
        </w:rPr>
      </w:pPr>
      <w:r w:rsidRPr="006E6549">
        <w:rPr>
          <w:i w:val="0"/>
        </w:rPr>
        <w:t xml:space="preserve">Determine what kind of language is being used (Poetic? Disputation? Narrative?) Literary forms are often crucial in determining the author’s meaning and intent. </w:t>
      </w:r>
    </w:p>
    <w:p w:rsidR="006E6549" w:rsidRPr="006E6549" w:rsidRDefault="006E6549" w:rsidP="006E6549">
      <w:pPr>
        <w:pStyle w:val="ListParagraph"/>
        <w:numPr>
          <w:ilvl w:val="2"/>
          <w:numId w:val="4"/>
        </w:numPr>
        <w:rPr>
          <w:i w:val="0"/>
        </w:rPr>
      </w:pPr>
      <w:r w:rsidRPr="006E6549">
        <w:rPr>
          <w:i w:val="0"/>
        </w:rPr>
        <w:t>Place these texts in their overall place in redemptive-history. In doing this, be careful not to make wrong associations between Israel and your nation or church.</w:t>
      </w:r>
    </w:p>
    <w:p w:rsidR="006E6549" w:rsidRPr="006E6549" w:rsidRDefault="006E6549" w:rsidP="006E6549">
      <w:pPr>
        <w:pStyle w:val="ListParagraph"/>
        <w:numPr>
          <w:ilvl w:val="2"/>
          <w:numId w:val="4"/>
        </w:numPr>
        <w:rPr>
          <w:i w:val="0"/>
        </w:rPr>
      </w:pPr>
      <w:r w:rsidRPr="006E6549">
        <w:rPr>
          <w:i w:val="0"/>
        </w:rPr>
        <w:t>Try not to impose your theological system on the text (whether dispensational, covenantal, etc.).</w:t>
      </w:r>
    </w:p>
    <w:p w:rsidR="006E6549" w:rsidRPr="006E6549" w:rsidRDefault="006E6549" w:rsidP="006E6549">
      <w:pPr>
        <w:pStyle w:val="ListParagraph"/>
        <w:numPr>
          <w:ilvl w:val="2"/>
          <w:numId w:val="4"/>
        </w:numPr>
        <w:rPr>
          <w:i w:val="0"/>
        </w:rPr>
      </w:pPr>
      <w:r w:rsidRPr="006E6549">
        <w:rPr>
          <w:i w:val="0"/>
        </w:rPr>
        <w:t>Be alert for certain reoccurring and sweeping themes, especially those that bear on the relationships between the testaments (e.g. eschatology, temple, marriage and spiritual adultery, new birth).</w:t>
      </w:r>
    </w:p>
    <w:p w:rsidR="00BB3DDD" w:rsidRPr="006E6549" w:rsidRDefault="006E6549" w:rsidP="006E6549">
      <w:pPr>
        <w:pStyle w:val="ListParagraph"/>
        <w:numPr>
          <w:ilvl w:val="2"/>
          <w:numId w:val="4"/>
        </w:numPr>
        <w:rPr>
          <w:i w:val="0"/>
        </w:rPr>
      </w:pPr>
      <w:r w:rsidRPr="006E6549">
        <w:rPr>
          <w:i w:val="0"/>
        </w:rPr>
        <w:t>Consider how the New Testament authors employ your passage, or at least your book.</w:t>
      </w:r>
    </w:p>
    <w:sectPr w:rsidR="00BB3DDD" w:rsidRPr="006E6549" w:rsidSect="001327BE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E5" w:rsidRDefault="00D154E5" w:rsidP="008F270C">
      <w:r>
        <w:separator/>
      </w:r>
    </w:p>
  </w:endnote>
  <w:endnote w:type="continuationSeparator" w:id="0">
    <w:p w:rsidR="00D154E5" w:rsidRDefault="00D154E5" w:rsidP="008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E5" w:rsidRDefault="00D154E5" w:rsidP="008F270C">
      <w:r>
        <w:separator/>
      </w:r>
    </w:p>
  </w:footnote>
  <w:footnote w:type="continuationSeparator" w:id="0">
    <w:p w:rsidR="00D154E5" w:rsidRDefault="00D154E5" w:rsidP="008F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001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 w15:restartNumberingAfterBreak="0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AC7A8D"/>
    <w:multiLevelType w:val="hybridMultilevel"/>
    <w:tmpl w:val="A7C241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6"/>
    <w:rsid w:val="000242A0"/>
    <w:rsid w:val="00080018"/>
    <w:rsid w:val="00091DA4"/>
    <w:rsid w:val="000D32CB"/>
    <w:rsid w:val="001327BE"/>
    <w:rsid w:val="0013737F"/>
    <w:rsid w:val="0017716B"/>
    <w:rsid w:val="001D3749"/>
    <w:rsid w:val="001F65C1"/>
    <w:rsid w:val="00220B37"/>
    <w:rsid w:val="00222DD5"/>
    <w:rsid w:val="002407EA"/>
    <w:rsid w:val="0028661A"/>
    <w:rsid w:val="002B34F1"/>
    <w:rsid w:val="003469C2"/>
    <w:rsid w:val="0038194A"/>
    <w:rsid w:val="003A3C42"/>
    <w:rsid w:val="003E5613"/>
    <w:rsid w:val="004307A1"/>
    <w:rsid w:val="0047266A"/>
    <w:rsid w:val="00502339"/>
    <w:rsid w:val="00530F80"/>
    <w:rsid w:val="00591947"/>
    <w:rsid w:val="005B6B8C"/>
    <w:rsid w:val="006318C5"/>
    <w:rsid w:val="006353B6"/>
    <w:rsid w:val="00661784"/>
    <w:rsid w:val="006D166C"/>
    <w:rsid w:val="006D645E"/>
    <w:rsid w:val="006E6549"/>
    <w:rsid w:val="00704AB7"/>
    <w:rsid w:val="00714A94"/>
    <w:rsid w:val="007A08B4"/>
    <w:rsid w:val="007B5388"/>
    <w:rsid w:val="008303C2"/>
    <w:rsid w:val="008F270C"/>
    <w:rsid w:val="009019A1"/>
    <w:rsid w:val="00901E37"/>
    <w:rsid w:val="00934073"/>
    <w:rsid w:val="00953D94"/>
    <w:rsid w:val="00962E86"/>
    <w:rsid w:val="009668D1"/>
    <w:rsid w:val="00975128"/>
    <w:rsid w:val="009B11F3"/>
    <w:rsid w:val="009D67B6"/>
    <w:rsid w:val="009E792B"/>
    <w:rsid w:val="00A6005C"/>
    <w:rsid w:val="00A619B7"/>
    <w:rsid w:val="00AE6C9B"/>
    <w:rsid w:val="00AF045A"/>
    <w:rsid w:val="00B16F41"/>
    <w:rsid w:val="00B701A6"/>
    <w:rsid w:val="00BB3DDD"/>
    <w:rsid w:val="00BE74AD"/>
    <w:rsid w:val="00C10EE2"/>
    <w:rsid w:val="00C4249B"/>
    <w:rsid w:val="00C54601"/>
    <w:rsid w:val="00C66958"/>
    <w:rsid w:val="00CA2C0C"/>
    <w:rsid w:val="00CC3ECB"/>
    <w:rsid w:val="00CC51EE"/>
    <w:rsid w:val="00D03817"/>
    <w:rsid w:val="00D154E5"/>
    <w:rsid w:val="00DA6C1C"/>
    <w:rsid w:val="00DD23E0"/>
    <w:rsid w:val="00DD76AD"/>
    <w:rsid w:val="00E1372F"/>
    <w:rsid w:val="00E362F5"/>
    <w:rsid w:val="00E557CB"/>
    <w:rsid w:val="00E75C1A"/>
    <w:rsid w:val="00EF2AE3"/>
    <w:rsid w:val="00F13440"/>
    <w:rsid w:val="00F4376F"/>
    <w:rsid w:val="00F865D7"/>
    <w:rsid w:val="00FA4B27"/>
    <w:rsid w:val="00FA6825"/>
    <w:rsid w:val="00FB061F"/>
    <w:rsid w:val="00FB4CC1"/>
    <w:rsid w:val="00FD7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CA52610-663F-4DAB-86EF-28BE213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F270C"/>
    <w:pPr>
      <w:widowControl w:val="0"/>
      <w:autoSpaceDE w:val="0"/>
      <w:autoSpaceDN w:val="0"/>
      <w:adjustRightInd w:val="0"/>
    </w:pPr>
    <w:rPr>
      <w:rFonts w:eastAsia="ヒラギノ角ゴ Pro W3"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</w:style>
  <w:style w:type="paragraph" w:styleId="FootnoteText">
    <w:name w:val="footnote text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</w:rPr>
  </w:style>
  <w:style w:type="character" w:styleId="FootnoteReference">
    <w:name w:val="footnote reference"/>
    <w:uiPriority w:val="99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character" w:styleId="Hyperlink">
    <w:name w:val="Hyperlink"/>
    <w:locked/>
    <w:rsid w:val="00C4249B"/>
    <w:rPr>
      <w:color w:val="0000FF"/>
      <w:u w:val="single"/>
    </w:rPr>
  </w:style>
  <w:style w:type="paragraph" w:customStyle="1" w:styleId="Sub-heading">
    <w:name w:val="Sub-heading"/>
    <w:next w:val="Normal"/>
    <w:rsid w:val="007A08B4"/>
    <w:pPr>
      <w:keepNext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28661A"/>
  </w:style>
  <w:style w:type="character" w:customStyle="1" w:styleId="small-caps">
    <w:name w:val="small-caps"/>
    <w:basedOn w:val="DefaultParagraphFont"/>
    <w:rsid w:val="0028661A"/>
  </w:style>
  <w:style w:type="paragraph" w:styleId="ListParagraph">
    <w:name w:val="List Paragraph"/>
    <w:basedOn w:val="Normal"/>
    <w:uiPriority w:val="72"/>
    <w:qFormat/>
    <w:rsid w:val="0028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89E6-4257-47EC-9F33-0ED3E196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Jamie Dunlop</dc:creator>
  <cp:keywords/>
  <cp:lastModifiedBy>Isaac Adams</cp:lastModifiedBy>
  <cp:revision>10</cp:revision>
  <cp:lastPrinted>2013-01-04T18:31:00Z</cp:lastPrinted>
  <dcterms:created xsi:type="dcterms:W3CDTF">2017-08-11T21:12:00Z</dcterms:created>
  <dcterms:modified xsi:type="dcterms:W3CDTF">2017-08-23T14:11:00Z</dcterms:modified>
</cp:coreProperties>
</file>