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60.0" w:type="dxa"/>
        <w:jc w:val="left"/>
        <w:tblInd w:w="-45.0" w:type="dxa"/>
        <w:tblLayout w:type="fixed"/>
        <w:tblLook w:val="0000"/>
      </w:tblPr>
      <w:tblGrid>
        <w:gridCol w:w="5760"/>
        <w:tblGridChange w:id="0">
          <w:tblGrid>
            <w:gridCol w:w="57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1: Survival and Resistance: The Patient Growth of the Early Church (49-312)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2: Constantine, Councils, and Creeds (313-451)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3: Augustine and the Fall of Rome (303-430)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4: Developing Doctrine: The Rise of Scholasticism, 800-1274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5: Doctrinal Decay and the Seeds of Reform, 900-1415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6: Reformation Unleashed: Martin Luther and Ulrich Zwingli (1483- 1546)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7: Reformation Contested: Calvin and the Council of Trent (1509-1564)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8: The English Reformation and Puritanism (1520-1689)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9: The Early English and American Baptists (1609-1988)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10: Awakenings in America (1662-1875)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11: The Modern Missions Movement (1792-1910)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12: Rise and Response to Theological Liberalism (1799-1929)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13: History of Capitol Hill Baptist Church (1867-present)</w:t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pBdr>
          <w:bottom w:color="000000" w:space="1" w:sz="4" w:val="single"/>
        </w:pBd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pageBreakBefore w:val="0"/>
        <w:rPr>
          <w:rFonts w:ascii="Times" w:cs="Times" w:eastAsia="Times" w:hAnsi="Times"/>
          <w:sz w:val="22"/>
          <w:szCs w:val="22"/>
        </w:rPr>
      </w:pPr>
      <w:bookmarkStart w:colFirst="0" w:colLast="0" w:name="_bw9snn7qkg4e" w:id="0"/>
      <w:bookmarkEnd w:id="0"/>
      <w:r w:rsidDel="00000000" w:rsidR="00000000" w:rsidRPr="00000000">
        <w:rPr>
          <w:rtl w:val="0"/>
        </w:rPr>
        <w:t xml:space="preserve">Recommended Reading: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480" w:hanging="48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480" w:hanging="48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480" w:hanging="48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Chadwick, Henry.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The Early Church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. Rev. ed. Penguin History of the Church 1. London: Penguin, 1993.</w:t>
      </w:r>
    </w:p>
    <w:p w:rsidR="00000000" w:rsidDel="00000000" w:rsidP="00000000" w:rsidRDefault="00000000" w:rsidRPr="00000000" w14:paraId="00000015">
      <w:pPr>
        <w:pageBreakBefore w:val="0"/>
        <w:ind w:left="480" w:hanging="48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J. N. D. Kelly,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Early Christian Creeds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(A&amp;C Black, 2006).</w:t>
      </w:r>
    </w:p>
    <w:p w:rsidR="00000000" w:rsidDel="00000000" w:rsidP="00000000" w:rsidRDefault="00000000" w:rsidRPr="00000000" w14:paraId="00000016">
      <w:pPr>
        <w:pageBreakBefore w:val="0"/>
        <w:ind w:left="480" w:hanging="48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Cyril Richardson,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Early Christian Fathers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, Reprint edition (New York: Touchstone, 1995).</w:t>
      </w:r>
    </w:p>
    <w:p w:rsidR="00000000" w:rsidDel="00000000" w:rsidP="00000000" w:rsidRDefault="00000000" w:rsidRPr="00000000" w14:paraId="00000017">
      <w:pPr>
        <w:ind w:left="48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Irenaeus Saint Bishop of Lyon,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On the Apostolic Preaching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, trans. John Behr (Crestwood, N.Y: St Vladimirs Seminary Pr, 1997).</w:t>
      </w:r>
    </w:p>
    <w:p w:rsidR="00000000" w:rsidDel="00000000" w:rsidP="00000000" w:rsidRDefault="00000000" w:rsidRPr="00000000" w14:paraId="00000018">
      <w:pPr>
        <w:pageBreakBefore w:val="0"/>
        <w:ind w:left="480" w:hanging="48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Tom Holland,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Dominion: How the Christian Revolution Remade the World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, Illustrated edition (New York: Basic Books, 2019).</w:t>
      </w:r>
    </w:p>
    <w:p w:rsidR="00000000" w:rsidDel="00000000" w:rsidP="00000000" w:rsidRDefault="00000000" w:rsidRPr="00000000" w14:paraId="00000019">
      <w:pPr>
        <w:pageBreakBefore w:val="0"/>
        <w:ind w:left="480" w:hanging="48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Sharon James, </w:t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How Christianity Transformed the World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(Christian Focus, 2021).</w:t>
      </w:r>
    </w:p>
    <w:p w:rsidR="00000000" w:rsidDel="00000000" w:rsidP="00000000" w:rsidRDefault="00000000" w:rsidRPr="00000000" w14:paraId="0000001A">
      <w:pPr>
        <w:pageBreakBefore w:val="0"/>
        <w:ind w:left="480" w:hanging="48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480" w:hanging="48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sz w:val="22"/>
          <w:szCs w:val="22"/>
        </w:rPr>
      </w:pP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caleb.morell@capbap.org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nick.gardner.29@gmail.com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sz w:val="22"/>
          <w:szCs w:val="22"/>
        </w:rPr>
      </w:pP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joseph.thigpen@capbap.org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pageBreakBefore w:val="0"/>
        <w:spacing w:line="276" w:lineRule="auto"/>
        <w:rPr/>
      </w:pPr>
      <w:bookmarkStart w:colFirst="0" w:colLast="0" w:name="_91dufi42obx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Survival and Resistance: </w:t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The Patient Growth of the Early Church (49-312)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Church History Core Seminar  |  Class 1 of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72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“These men who have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turned the world upside down</w:t>
      </w:r>
      <w:r w:rsidDel="00000000" w:rsidR="00000000" w:rsidRPr="00000000">
        <w:rPr>
          <w:rFonts w:ascii="Times" w:cs="Times" w:eastAsia="Times" w:hAnsi="Times"/>
          <w:rtl w:val="0"/>
        </w:rPr>
        <w:t xml:space="preserve"> have come here also, and Jason has received them, and they are all acting against the decrees of Caesar, saying that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there is another king, Jesus’</w:t>
      </w:r>
      <w:r w:rsidDel="00000000" w:rsidR="00000000" w:rsidRPr="00000000">
        <w:rPr>
          <w:rFonts w:ascii="Times" w:cs="Times" w:eastAsia="Times" w:hAnsi="Times"/>
          <w:rtl w:val="0"/>
        </w:rPr>
        <w:t xml:space="preserve">” (Acts 17:6-7).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pageBreakBefore w:val="0"/>
        <w:rPr/>
      </w:pPr>
      <w:bookmarkStart w:colFirst="0" w:colLast="0" w:name="_tfp09j6xn4a0" w:id="2"/>
      <w:bookmarkEnd w:id="2"/>
      <w:r w:rsidDel="00000000" w:rsidR="00000000" w:rsidRPr="00000000">
        <w:rPr>
          <w:rtl w:val="0"/>
        </w:rPr>
        <w:t xml:space="preserve">1. The Earliest Christians: Confronting Rome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Nero (64) and Tacitus (116)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1440" w:right="720" w:firstLine="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To kill the rumors, Nero charged and tortured some people hated for their evil practices – the group popularly called “Christians.” The founder of this sect, Christus, had been put to death by the governor of Judea, Pontius Pilate, when Tiberius was emperor.</w:t>
      </w:r>
      <w:r w:rsidDel="00000000" w:rsidR="00000000" w:rsidRPr="00000000">
        <w:rPr>
          <w:rtl w:val="0"/>
        </w:rPr>
        <w:t xml:space="preserve">” (Tacitus, Annals, Bk. 16, Ch. 44).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  <w:t xml:space="preserve">Pliny’s Letter to Emperor Trajan (112)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religio licita</w:t>
      </w:r>
      <w:r w:rsidDel="00000000" w:rsidR="00000000" w:rsidRPr="00000000">
        <w:rPr>
          <w:rtl w:val="0"/>
        </w:rPr>
        <w:t xml:space="preserve">” (approved religion) vs. “</w:t>
      </w:r>
      <w:r w:rsidDel="00000000" w:rsidR="00000000" w:rsidRPr="00000000">
        <w:rPr>
          <w:i w:val="1"/>
          <w:rtl w:val="0"/>
        </w:rPr>
        <w:t xml:space="preserve">superstitio</w:t>
      </w:r>
      <w:r w:rsidDel="00000000" w:rsidR="00000000" w:rsidRPr="00000000">
        <w:rPr>
          <w:rtl w:val="0"/>
        </w:rPr>
        <w:t xml:space="preserve">” (superstition)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pageBreakBefore w:val="0"/>
        <w:rPr/>
      </w:pPr>
      <w:bookmarkStart w:colFirst="0" w:colLast="0" w:name="_fbo18y1hcj6z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pageBreakBefore w:val="0"/>
        <w:rPr/>
      </w:pPr>
      <w:bookmarkStart w:colFirst="0" w:colLast="0" w:name="_328y4wwe214a" w:id="4"/>
      <w:bookmarkEnd w:id="4"/>
      <w:r w:rsidDel="00000000" w:rsidR="00000000" w:rsidRPr="00000000">
        <w:rPr>
          <w:rtl w:val="0"/>
        </w:rPr>
        <w:t xml:space="preserve">2. The Threat of Gnosticism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4"/>
        <w:ind w:left="720" w:firstLine="0"/>
        <w:rPr>
          <w:sz w:val="20"/>
          <w:szCs w:val="20"/>
        </w:rPr>
      </w:pPr>
      <w:bookmarkStart w:colFirst="0" w:colLast="0" w:name="_4kgetrg54a43" w:id="5"/>
      <w:bookmarkEnd w:id="5"/>
      <w:r w:rsidDel="00000000" w:rsidR="00000000" w:rsidRPr="00000000">
        <w:rPr>
          <w:sz w:val="20"/>
          <w:szCs w:val="20"/>
          <w:rtl w:val="0"/>
        </w:rPr>
        <w:t xml:space="preserve">“Gnosticism is a generic term used primarily to refer to theosophical adaptations of Christianity propagated by a dozen or more rival sects which broke with the early church between A.D. 80 and 150.” (Chadwick, 34)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mfqdjyaazyn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Irenaeus of Lyon (ca. 130-200) 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Demonstration of the Apostolic Preaching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Against Heresies (180)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2">
      <w:pPr>
        <w:pStyle w:val="Heading3"/>
        <w:rPr/>
      </w:pPr>
      <w:bookmarkStart w:colFirst="0" w:colLast="0" w:name="_xix6kd7fqip9" w:id="7"/>
      <w:bookmarkEnd w:id="7"/>
      <w:r w:rsidDel="00000000" w:rsidR="00000000" w:rsidRPr="00000000">
        <w:rPr>
          <w:rtl w:val="0"/>
        </w:rPr>
        <w:t xml:space="preserve">3. The Need for Unity in Faith and Order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5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Apostolic Succession</w:t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Canon of Scripture</w:t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“The New Testament books did not become authoritative for the Church because they were formally included in a canonical list; on the contrary, the Church included them in her canon because she already regarded them as divinely inspired.” F.F. Bruce, </w:t>
      </w:r>
      <w:r w:rsidDel="00000000" w:rsidR="00000000" w:rsidRPr="00000000">
        <w:rPr>
          <w:i w:val="1"/>
          <w:sz w:val="22"/>
          <w:szCs w:val="22"/>
          <w:rtl w:val="0"/>
        </w:rPr>
        <w:t xml:space="preserve">The New Testament Documents</w:t>
      </w:r>
      <w:r w:rsidDel="00000000" w:rsidR="00000000" w:rsidRPr="00000000">
        <w:rPr>
          <w:sz w:val="22"/>
          <w:szCs w:val="22"/>
          <w:rtl w:val="0"/>
        </w:rPr>
        <w:t xml:space="preserve">, p. 22.</w:t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Apostle’s Creed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rPr/>
      </w:pPr>
      <w:bookmarkStart w:colFirst="0" w:colLast="0" w:name="_gist742gp00" w:id="8"/>
      <w:bookmarkEnd w:id="8"/>
      <w:r w:rsidDel="00000000" w:rsidR="00000000" w:rsidRPr="00000000">
        <w:rPr>
          <w:rtl w:val="0"/>
        </w:rPr>
        <w:t xml:space="preserve">4. Expansion and Growth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4"/>
        <w:ind w:left="720" w:firstLine="0"/>
        <w:rPr/>
      </w:pPr>
      <w:bookmarkStart w:colFirst="0" w:colLast="0" w:name="_q8xc29jfrvyk" w:id="9"/>
      <w:bookmarkEnd w:id="9"/>
      <w:r w:rsidDel="00000000" w:rsidR="00000000" w:rsidRPr="00000000">
        <w:rPr>
          <w:rtl w:val="0"/>
        </w:rPr>
        <w:t xml:space="preserve">The Witness of Charity 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4"/>
        <w:ind w:left="720" w:firstLine="0"/>
        <w:rPr/>
      </w:pPr>
      <w:bookmarkStart w:colFirst="0" w:colLast="0" w:name="_52sst5yn6n7t" w:id="10"/>
      <w:bookmarkEnd w:id="10"/>
      <w:r w:rsidDel="00000000" w:rsidR="00000000" w:rsidRPr="00000000">
        <w:rPr>
          <w:rtl w:val="0"/>
        </w:rPr>
        <w:t xml:space="preserve">The Sanctity of Marriage 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4"/>
        <w:ind w:left="720" w:firstLine="0"/>
        <w:rPr/>
      </w:pPr>
      <w:bookmarkStart w:colFirst="0" w:colLast="0" w:name="_ens10uu554hq" w:id="11"/>
      <w:bookmarkEnd w:id="11"/>
      <w:r w:rsidDel="00000000" w:rsidR="00000000" w:rsidRPr="00000000">
        <w:rPr>
          <w:rtl w:val="0"/>
        </w:rPr>
        <w:t xml:space="preserve">The Sanctity of Life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pageBreakBefore w:val="0"/>
        <w:rPr/>
      </w:pPr>
      <w:bookmarkStart w:colFirst="0" w:colLast="0" w:name="_3p0no7epxdo" w:id="12"/>
      <w:bookmarkEnd w:id="12"/>
      <w:r w:rsidDel="00000000" w:rsidR="00000000" w:rsidRPr="00000000">
        <w:rPr>
          <w:rtl w:val="0"/>
        </w:rPr>
        <w:t xml:space="preserve">5. The Pagan Revival and Rise of Persecution </w:t>
      </w:r>
    </w:p>
    <w:p w:rsidR="00000000" w:rsidDel="00000000" w:rsidP="00000000" w:rsidRDefault="00000000" w:rsidRPr="00000000" w14:paraId="0000005C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E">
      <w:pPr>
        <w:pageBreakBefore w:val="0"/>
        <w:ind w:firstLine="72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pageBreakBefore w:val="0"/>
        <w:rPr/>
      </w:pPr>
      <w:bookmarkStart w:colFirst="0" w:colLast="0" w:name="_dphtn8cak1l" w:id="13"/>
      <w:bookmarkEnd w:id="13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62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Polycarp of Smyrna (70 - 156)</w:t>
      </w:r>
    </w:p>
    <w:p w:rsidR="00000000" w:rsidDel="00000000" w:rsidP="00000000" w:rsidRDefault="00000000" w:rsidRPr="00000000" w14:paraId="00000065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="276" w:lineRule="auto"/>
        <w:ind w:left="720" w:right="720" w:firstLine="0"/>
        <w:rPr>
          <w:rFonts w:ascii="Times" w:cs="Times" w:eastAsia="Times" w:hAnsi="Times"/>
          <w:i w:val="1"/>
          <w:sz w:val="22"/>
          <w:szCs w:val="22"/>
        </w:rPr>
      </w:pP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“The proconsul became more insistent and said, “Take the oath and I will release you. Revile Christ.” But Polycarp responded, “For eighty-six years I have served him, and he has done me no wrong. How can I blaspheme my king who has saved me?”</w:t>
      </w:r>
      <w:r w:rsidDel="00000000" w:rsidR="00000000" w:rsidRPr="00000000">
        <w:rPr>
          <w:rtl w:val="0"/>
        </w:rPr>
      </w:r>
    </w:p>
    <w:sectPr>
      <w:headerReference r:id="rId9" w:type="default"/>
      <w:pgSz w:h="12240" w:w="15840" w:orient="landscape"/>
      <w:pgMar w:bottom="720" w:top="720" w:left="720" w:right="720" w:header="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jc w:val="right"/>
      <w:rPr/>
    </w:pPr>
    <w:r w:rsidDel="00000000" w:rsidR="00000000" w:rsidRPr="00000000">
      <w:rPr>
        <w:rtl w:val="0"/>
      </w:rPr>
      <w:t xml:space="preserve">Church History Core Seminar | Class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76" w:lineRule="auto"/>
    </w:pPr>
    <w:rPr>
      <w:rFonts w:ascii="Times" w:cs="Times" w:eastAsia="Times" w:hAnsi="Times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aleb.morell@capbap.org" TargetMode="External"/><Relationship Id="rId7" Type="http://schemas.openxmlformats.org/officeDocument/2006/relationships/hyperlink" Target="mailto:nick.gardner.29@gmail.com" TargetMode="External"/><Relationship Id="rId8" Type="http://schemas.openxmlformats.org/officeDocument/2006/relationships/hyperlink" Target="mailto:joseph.thigpen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