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rPr>
          <w:rFonts w:ascii="Times New Roman" w:cs="Times New Roman" w:eastAsia="Times New Roman" w:hAnsi="Times New Roman"/>
          <w:color w:val="000000"/>
        </w:rPr>
      </w:pPr>
      <w:bookmarkStart w:colFirst="0" w:colLast="0" w:name="_tzkcuoew0um5" w:id="0"/>
      <w:bookmarkEnd w:id="0"/>
      <w:r w:rsidDel="00000000" w:rsidR="00000000" w:rsidRPr="00000000">
        <w:rPr>
          <w:rFonts w:ascii="Times New Roman" w:cs="Times New Roman" w:eastAsia="Times New Roman" w:hAnsi="Times New Roman"/>
          <w:color w:val="000000"/>
          <w:rtl w:val="0"/>
        </w:rPr>
        <w:t xml:space="preserve">John Huss (1372 - 1415)</w:t>
      </w:r>
      <w:r w:rsidDel="00000000" w:rsidR="00000000" w:rsidRPr="00000000">
        <w:rPr>
          <w:rtl w:val="0"/>
        </w:rPr>
      </w:r>
    </w:p>
    <w:p w:rsidR="00000000" w:rsidDel="00000000" w:rsidP="00000000" w:rsidRDefault="00000000" w:rsidRPr="00000000" w14:paraId="00000002">
      <w:pPr>
        <w:pStyle w:val="Heading4"/>
        <w:rPr>
          <w:rFonts w:ascii="Times New Roman" w:cs="Times New Roman" w:eastAsia="Times New Roman" w:hAnsi="Times New Roman"/>
          <w:color w:val="000000"/>
        </w:rPr>
      </w:pPr>
      <w:bookmarkStart w:colFirst="0" w:colLast="0" w:name="_m5u0k2vg3idc" w:id="1"/>
      <w:bookmarkEnd w:id="1"/>
      <w:r w:rsidDel="00000000" w:rsidR="00000000" w:rsidRPr="00000000">
        <w:rPr>
          <w:rFonts w:ascii="Times New Roman" w:cs="Times New Roman" w:eastAsia="Times New Roman" w:hAnsi="Times New Roman"/>
          <w:color w:val="000000"/>
          <w:rtl w:val="0"/>
        </w:rPr>
        <w:t xml:space="preserve">Sovereignty &amp; Election</w:t>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pStyle w:val="Heading4"/>
        <w:rPr>
          <w:rFonts w:ascii="Times New Roman" w:cs="Times New Roman" w:eastAsia="Times New Roman" w:hAnsi="Times New Roman"/>
          <w:color w:val="000000"/>
        </w:rPr>
      </w:pPr>
      <w:bookmarkStart w:colFirst="0" w:colLast="0" w:name="_sfaa1csq3slr" w:id="2"/>
      <w:bookmarkEnd w:id="2"/>
      <w:r w:rsidDel="00000000" w:rsidR="00000000" w:rsidRPr="00000000">
        <w:rPr>
          <w:rFonts w:ascii="Times New Roman" w:cs="Times New Roman" w:eastAsia="Times New Roman" w:hAnsi="Times New Roman"/>
          <w:color w:val="000000"/>
          <w:rtl w:val="0"/>
        </w:rPr>
        <w:t xml:space="preserve">Council of Constance 1414</w:t>
      </w:r>
    </w:p>
    <w:p w:rsidR="00000000" w:rsidDel="00000000" w:rsidP="00000000" w:rsidRDefault="00000000" w:rsidRPr="00000000" w14:paraId="00000006">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shall die with joy today in the faith of the Gospel which I have preached.”</w:t>
      </w:r>
      <w:r w:rsidDel="00000000" w:rsidR="00000000" w:rsidRPr="00000000">
        <w:rPr>
          <w:rtl w:val="0"/>
        </w:rPr>
      </w:r>
    </w:p>
    <w:p w:rsidR="00000000" w:rsidDel="00000000" w:rsidP="00000000" w:rsidRDefault="00000000" w:rsidRPr="00000000" w14:paraId="00000009">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w:t>
      </w:r>
    </w:p>
    <w:p w:rsidR="00000000" w:rsidDel="00000000" w:rsidP="00000000" w:rsidRDefault="00000000" w:rsidRPr="00000000" w14:paraId="00000011">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Recommended Reading</w:t>
      </w:r>
    </w:p>
    <w:p w:rsidR="00000000" w:rsidDel="00000000" w:rsidP="00000000" w:rsidRDefault="00000000" w:rsidRPr="00000000" w14:paraId="00000012">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Lawson, Steven J. </w:t>
      </w:r>
      <w:r w:rsidDel="00000000" w:rsidR="00000000" w:rsidRPr="00000000">
        <w:rPr>
          <w:rFonts w:ascii="Times New Roman" w:cs="Times New Roman" w:eastAsia="Times New Roman" w:hAnsi="Times New Roman"/>
          <w:i w:val="1"/>
          <w:sz w:val="20"/>
          <w:szCs w:val="20"/>
          <w:rtl w:val="0"/>
        </w:rPr>
        <w:t xml:space="preserve">A Long Line of Godly Men - Pillars of Grace: AD 100 - 1564. </w:t>
      </w:r>
      <w:r w:rsidDel="00000000" w:rsidR="00000000" w:rsidRPr="00000000">
        <w:rPr>
          <w:rFonts w:ascii="Times New Roman" w:cs="Times New Roman" w:eastAsia="Times New Roman" w:hAnsi="Times New Roman"/>
          <w:sz w:val="20"/>
          <w:szCs w:val="20"/>
          <w:rtl w:val="0"/>
        </w:rPr>
        <w:t xml:space="preserve">Orlando, FL: Reformation Trust, 2011.</w:t>
      </w:r>
    </w:p>
    <w:p w:rsidR="00000000" w:rsidDel="00000000" w:rsidP="00000000" w:rsidRDefault="00000000" w:rsidRPr="00000000" w14:paraId="00000013">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Needham, Nick. </w:t>
      </w:r>
      <w:r w:rsidDel="00000000" w:rsidR="00000000" w:rsidRPr="00000000">
        <w:rPr>
          <w:rFonts w:ascii="Times New Roman" w:cs="Times New Roman" w:eastAsia="Times New Roman" w:hAnsi="Times New Roman"/>
          <w:i w:val="1"/>
          <w:sz w:val="20"/>
          <w:szCs w:val="20"/>
          <w:rtl w:val="0"/>
        </w:rPr>
        <w:t xml:space="preserve">2000 Years of Christ’s Power: Volume 2, The Middle Ages</w:t>
      </w:r>
      <w:r w:rsidDel="00000000" w:rsidR="00000000" w:rsidRPr="00000000">
        <w:rPr>
          <w:rFonts w:ascii="Times New Roman" w:cs="Times New Roman" w:eastAsia="Times New Roman" w:hAnsi="Times New Roman"/>
          <w:sz w:val="20"/>
          <w:szCs w:val="20"/>
          <w:rtl w:val="0"/>
        </w:rPr>
        <w:t xml:space="preserve">. London: Christian Focus, 2016.</w:t>
      </w:r>
    </w:p>
    <w:p w:rsidR="00000000" w:rsidDel="00000000" w:rsidP="00000000" w:rsidRDefault="00000000" w:rsidRPr="00000000" w14:paraId="00000014">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Piper, John. </w:t>
      </w:r>
      <w:r w:rsidDel="00000000" w:rsidR="00000000" w:rsidRPr="00000000">
        <w:rPr>
          <w:rFonts w:ascii="Times New Roman" w:cs="Times New Roman" w:eastAsia="Times New Roman" w:hAnsi="Times New Roman"/>
          <w:i w:val="1"/>
          <w:sz w:val="20"/>
          <w:szCs w:val="20"/>
          <w:rtl w:val="0"/>
        </w:rPr>
        <w:t xml:space="preserve">Filling Up the Afflictions of Christ</w:t>
      </w:r>
      <w:r w:rsidDel="00000000" w:rsidR="00000000" w:rsidRPr="00000000">
        <w:rPr>
          <w:rFonts w:ascii="Times New Roman" w:cs="Times New Roman" w:eastAsia="Times New Roman" w:hAnsi="Times New Roman"/>
          <w:sz w:val="20"/>
          <w:szCs w:val="20"/>
          <w:rtl w:val="0"/>
        </w:rPr>
        <w:t xml:space="preserve">. Wheaton, IL: Crossway, 2009.</w:t>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joseph.thigpen@capbap.com</w:t>
      </w:r>
    </w:p>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nick.gardner.29@gmail.com</w:t>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caleb.morell@capbap.org</w:t>
      </w:r>
      <w:r w:rsidDel="00000000" w:rsidR="00000000" w:rsidRPr="00000000">
        <w:rPr>
          <w:rtl w:val="0"/>
        </w:rPr>
      </w:r>
    </w:p>
    <w:p w:rsidR="00000000" w:rsidDel="00000000" w:rsidP="00000000" w:rsidRDefault="00000000" w:rsidRPr="00000000" w14:paraId="0000001B">
      <w:pPr>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1C">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Doctrinal Decay &amp; Seeds of Reform: The Middle Ages II (900-1415)</w:t>
      </w:r>
    </w:p>
    <w:p w:rsidR="00000000" w:rsidDel="00000000" w:rsidP="00000000" w:rsidRDefault="00000000" w:rsidRPr="00000000" w14:paraId="0000001D">
      <w:pPr>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24"/>
          <w:szCs w:val="24"/>
          <w:rtl w:val="0"/>
        </w:rPr>
        <w:t xml:space="preserve">Church History Core Seminar  |  Class 5 of 13</w:t>
      </w:r>
      <w:r w:rsidDel="00000000" w:rsidR="00000000" w:rsidRPr="00000000">
        <w:rPr>
          <w:rtl w:val="0"/>
        </w:rPr>
      </w:r>
    </w:p>
    <w:p w:rsidR="00000000" w:rsidDel="00000000" w:rsidP="00000000" w:rsidRDefault="00000000" w:rsidRPr="00000000" w14:paraId="0000001E">
      <w:pPr>
        <w:pStyle w:val="Heading2"/>
        <w:rPr>
          <w:rFonts w:ascii="Times New Roman" w:cs="Times New Roman" w:eastAsia="Times New Roman" w:hAnsi="Times New Roman"/>
        </w:rPr>
      </w:pPr>
      <w:bookmarkStart w:colFirst="0" w:colLast="0" w:name="_d9bq85r2adwi" w:id="3"/>
      <w:bookmarkEnd w:id="3"/>
      <w:r w:rsidDel="00000000" w:rsidR="00000000" w:rsidRPr="00000000">
        <w:rPr>
          <w:rFonts w:ascii="Times New Roman" w:cs="Times New Roman" w:eastAsia="Times New Roman" w:hAnsi="Times New Roman"/>
          <w:rtl w:val="0"/>
        </w:rPr>
        <w:t xml:space="preserve">Confusing Christ’s Work</w:t>
      </w:r>
    </w:p>
    <w:p w:rsidR="00000000" w:rsidDel="00000000" w:rsidP="00000000" w:rsidRDefault="00000000" w:rsidRPr="00000000" w14:paraId="0000001F">
      <w:pPr>
        <w:pStyle w:val="Heading3"/>
        <w:rPr>
          <w:rFonts w:ascii="Times New Roman" w:cs="Times New Roman" w:eastAsia="Times New Roman" w:hAnsi="Times New Roman"/>
          <w:color w:val="000000"/>
        </w:rPr>
      </w:pPr>
      <w:bookmarkStart w:colFirst="0" w:colLast="0" w:name="_uq4tjw4o869d" w:id="4"/>
      <w:bookmarkEnd w:id="4"/>
      <w:r w:rsidDel="00000000" w:rsidR="00000000" w:rsidRPr="00000000">
        <w:rPr>
          <w:rFonts w:ascii="Times New Roman" w:cs="Times New Roman" w:eastAsia="Times New Roman" w:hAnsi="Times New Roman"/>
          <w:color w:val="000000"/>
          <w:rtl w:val="0"/>
        </w:rPr>
        <w:t xml:space="preserve">The Papacy</w:t>
      </w:r>
    </w:p>
    <w:p w:rsidR="00000000" w:rsidDel="00000000" w:rsidP="00000000" w:rsidRDefault="00000000" w:rsidRPr="00000000" w14:paraId="00000020">
      <w:pPr>
        <w:ind w:left="0" w:firstLine="72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The Donation of Constantine</w:t>
      </w:r>
    </w:p>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Pope is] </w:t>
      </w:r>
      <w:r w:rsidDel="00000000" w:rsidR="00000000" w:rsidRPr="00000000">
        <w:rPr>
          <w:rFonts w:ascii="Times New Roman" w:cs="Times New Roman" w:eastAsia="Times New Roman" w:hAnsi="Times New Roman"/>
          <w:rtl w:val="0"/>
        </w:rPr>
        <w:t xml:space="preserve">the teacher, preserver, and godfather of the emperor; the vicar through whom St Peter displayed his power; and…the supreme temporal lord of the West.”</w:t>
      </w:r>
      <w:r w:rsidDel="00000000" w:rsidR="00000000" w:rsidRPr="00000000">
        <w:rPr>
          <w:rtl w:val="0"/>
        </w:rPr>
      </w:r>
    </w:p>
    <w:p w:rsidR="00000000" w:rsidDel="00000000" w:rsidP="00000000" w:rsidRDefault="00000000" w:rsidRPr="00000000" w14:paraId="00000023">
      <w:pPr>
        <w:pStyle w:val="Heading4"/>
        <w:rPr>
          <w:rFonts w:ascii="Times New Roman" w:cs="Times New Roman" w:eastAsia="Times New Roman" w:hAnsi="Times New Roman"/>
          <w:color w:val="000000"/>
        </w:rPr>
      </w:pPr>
      <w:bookmarkStart w:colFirst="0" w:colLast="0" w:name="_lgtv3xiezzs" w:id="5"/>
      <w:bookmarkEnd w:id="5"/>
      <w:r w:rsidDel="00000000" w:rsidR="00000000" w:rsidRPr="00000000">
        <w:rPr>
          <w:rtl w:val="0"/>
        </w:rPr>
      </w:r>
    </w:p>
    <w:p w:rsidR="00000000" w:rsidDel="00000000" w:rsidP="00000000" w:rsidRDefault="00000000" w:rsidRPr="00000000" w14:paraId="00000024">
      <w:pPr>
        <w:pStyle w:val="Heading3"/>
        <w:rPr>
          <w:rFonts w:ascii="Times New Roman" w:cs="Times New Roman" w:eastAsia="Times New Roman" w:hAnsi="Times New Roman"/>
          <w:color w:val="000000"/>
        </w:rPr>
      </w:pPr>
      <w:bookmarkStart w:colFirst="0" w:colLast="0" w:name="_hs4xvcz8dum7" w:id="6"/>
      <w:bookmarkEnd w:id="6"/>
      <w:r w:rsidDel="00000000" w:rsidR="00000000" w:rsidRPr="00000000">
        <w:rPr>
          <w:rFonts w:ascii="Times New Roman" w:cs="Times New Roman" w:eastAsia="Times New Roman" w:hAnsi="Times New Roman"/>
          <w:color w:val="000000"/>
          <w:rtl w:val="0"/>
        </w:rPr>
        <w:t xml:space="preserve">Mariology</w:t>
      </w:r>
    </w:p>
    <w:p w:rsidR="00000000" w:rsidDel="00000000" w:rsidP="00000000" w:rsidRDefault="00000000" w:rsidRPr="00000000" w14:paraId="00000025">
      <w:pPr>
        <w:pageBreakBefore w:val="0"/>
        <w:ind w:left="0" w:firstLine="72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Mediatrix</w:t>
      </w:r>
    </w:p>
    <w:p w:rsidR="00000000" w:rsidDel="00000000" w:rsidP="00000000" w:rsidRDefault="00000000" w:rsidRPr="00000000" w14:paraId="00000026">
      <w:pPr>
        <w:pageBreakBefore w:val="0"/>
        <w:ind w:left="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7">
      <w:pPr>
        <w:spacing w:line="276" w:lineRule="auto"/>
        <w:ind w:left="0" w:right="705"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“Taken up to heaven she did not lay aside this saving office but by her manifold intercession continues to bring us the gifts of eternal salvation”</w:t>
      </w:r>
    </w:p>
    <w:p w:rsidR="00000000" w:rsidDel="00000000" w:rsidP="00000000" w:rsidRDefault="00000000" w:rsidRPr="00000000" w14:paraId="00000028">
      <w:pPr>
        <w:pStyle w:val="Heading4"/>
        <w:rPr>
          <w:rFonts w:ascii="Times New Roman" w:cs="Times New Roman" w:eastAsia="Times New Roman" w:hAnsi="Times New Roman"/>
          <w:color w:val="000000"/>
        </w:rPr>
      </w:pPr>
      <w:bookmarkStart w:colFirst="0" w:colLast="0" w:name="_yc6zuouu1yf7" w:id="7"/>
      <w:bookmarkEnd w:id="7"/>
      <w:r w:rsidDel="00000000" w:rsidR="00000000" w:rsidRPr="00000000">
        <w:rPr>
          <w:rtl w:val="0"/>
        </w:rPr>
      </w:r>
    </w:p>
    <w:p w:rsidR="00000000" w:rsidDel="00000000" w:rsidP="00000000" w:rsidRDefault="00000000" w:rsidRPr="00000000" w14:paraId="00000029">
      <w:pPr>
        <w:pStyle w:val="Heading3"/>
        <w:rPr>
          <w:rFonts w:ascii="Times New Roman" w:cs="Times New Roman" w:eastAsia="Times New Roman" w:hAnsi="Times New Roman"/>
          <w:color w:val="000000"/>
        </w:rPr>
      </w:pPr>
      <w:bookmarkStart w:colFirst="0" w:colLast="0" w:name="_hjezmoir19me" w:id="8"/>
      <w:bookmarkEnd w:id="8"/>
      <w:r w:rsidDel="00000000" w:rsidR="00000000" w:rsidRPr="00000000">
        <w:rPr>
          <w:rFonts w:ascii="Times New Roman" w:cs="Times New Roman" w:eastAsia="Times New Roman" w:hAnsi="Times New Roman"/>
          <w:color w:val="000000"/>
          <w:rtl w:val="0"/>
        </w:rPr>
        <w:t xml:space="preserve">Penance</w:t>
      </w:r>
    </w:p>
    <w:p w:rsidR="00000000" w:rsidDel="00000000" w:rsidP="00000000" w:rsidRDefault="00000000" w:rsidRPr="00000000" w14:paraId="0000002A">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pStyle w:val="Heading3"/>
        <w:rPr>
          <w:rFonts w:ascii="Times New Roman" w:cs="Times New Roman" w:eastAsia="Times New Roman" w:hAnsi="Times New Roman"/>
          <w:color w:val="000000"/>
        </w:rPr>
      </w:pPr>
      <w:bookmarkStart w:colFirst="0" w:colLast="0" w:name="_oicevs88z7i2" w:id="9"/>
      <w:bookmarkEnd w:id="9"/>
      <w:r w:rsidDel="00000000" w:rsidR="00000000" w:rsidRPr="00000000">
        <w:rPr>
          <w:rFonts w:ascii="Times New Roman" w:cs="Times New Roman" w:eastAsia="Times New Roman" w:hAnsi="Times New Roman"/>
          <w:color w:val="000000"/>
          <w:rtl w:val="0"/>
        </w:rPr>
        <w:t xml:space="preserve">Purgatory</w:t>
      </w:r>
    </w:p>
    <w:p w:rsidR="00000000" w:rsidDel="00000000" w:rsidP="00000000" w:rsidRDefault="00000000" w:rsidRPr="00000000" w14:paraId="0000002F">
      <w:pPr>
        <w:pageBreakBefore w:val="0"/>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Pope Innocent IV (1254)</w:t>
      </w:r>
    </w:p>
    <w:p w:rsidR="00000000" w:rsidDel="00000000" w:rsidP="00000000" w:rsidRDefault="00000000" w:rsidRPr="00000000" w14:paraId="00000030">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276" w:lineRule="auto"/>
        <w:ind w:left="0" w:right="705"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the souls of those who die after receiving penance but without having had time to complete it, or who die without mortal sin but guilty of venial [sins] or minor faults, are purged after death and may be helped by the suffrages of the Church;.... For, in this temporary fire, sins, not of course crimes and capitol errors, which could not previously have been forgiven through penance, but slight and minor sins, are purged; if they have not been forgiven during existence, they weigh down the soul after death.</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32">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pageBreakBefore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34">
      <w:pPr>
        <w:pageBreakBefore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35">
      <w:pPr>
        <w:pageBreakBefore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36">
      <w:pPr>
        <w:pStyle w:val="Heading3"/>
        <w:rPr>
          <w:rFonts w:ascii="Times New Roman" w:cs="Times New Roman" w:eastAsia="Times New Roman" w:hAnsi="Times New Roman"/>
          <w:color w:val="000000"/>
          <w:sz w:val="24"/>
          <w:szCs w:val="24"/>
        </w:rPr>
      </w:pPr>
      <w:bookmarkStart w:colFirst="0" w:colLast="0" w:name="_7tsakqb4wucs" w:id="10"/>
      <w:bookmarkEnd w:id="10"/>
      <w:r w:rsidDel="00000000" w:rsidR="00000000" w:rsidRPr="00000000">
        <w:rPr>
          <w:rFonts w:ascii="Times New Roman" w:cs="Times New Roman" w:eastAsia="Times New Roman" w:hAnsi="Times New Roman"/>
          <w:color w:val="000000"/>
          <w:rtl w:val="0"/>
        </w:rPr>
        <w:t xml:space="preserve">Indulgences</w:t>
      </w:r>
      <w:r w:rsidDel="00000000" w:rsidR="00000000" w:rsidRPr="00000000">
        <w:rPr>
          <w:rtl w:val="0"/>
        </w:rPr>
      </w:r>
    </w:p>
    <w:p w:rsidR="00000000" w:rsidDel="00000000" w:rsidP="00000000" w:rsidRDefault="00000000" w:rsidRPr="00000000" w14:paraId="00000037">
      <w:pPr>
        <w:pageBreakBefore w:val="0"/>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Treasury of Merit</w:t>
      </w:r>
    </w:p>
    <w:p w:rsidR="00000000" w:rsidDel="00000000" w:rsidP="00000000" w:rsidRDefault="00000000" w:rsidRPr="00000000" w14:paraId="00000038">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pStyle w:val="Heading3"/>
        <w:rPr>
          <w:rFonts w:ascii="Times New Roman" w:cs="Times New Roman" w:eastAsia="Times New Roman" w:hAnsi="Times New Roman"/>
          <w:color w:val="000000"/>
        </w:rPr>
      </w:pPr>
      <w:bookmarkStart w:colFirst="0" w:colLast="0" w:name="_v99mpb6w9mzx" w:id="11"/>
      <w:bookmarkEnd w:id="11"/>
      <w:r w:rsidDel="00000000" w:rsidR="00000000" w:rsidRPr="00000000">
        <w:rPr>
          <w:rFonts w:ascii="Times New Roman" w:cs="Times New Roman" w:eastAsia="Times New Roman" w:hAnsi="Times New Roman"/>
          <w:color w:val="000000"/>
          <w:rtl w:val="0"/>
        </w:rPr>
        <w:t xml:space="preserve">Transubstantiation</w:t>
      </w:r>
    </w:p>
    <w:p w:rsidR="00000000" w:rsidDel="00000000" w:rsidP="00000000" w:rsidRDefault="00000000" w:rsidRPr="00000000" w14:paraId="0000003E">
      <w:pPr>
        <w:pageBreakBefore w:val="0"/>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Substance and accidents</w:t>
      </w:r>
    </w:p>
    <w:p w:rsidR="00000000" w:rsidDel="00000000" w:rsidP="00000000" w:rsidRDefault="00000000" w:rsidRPr="00000000" w14:paraId="0000003F">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pageBreakBefore w:val="0"/>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Fourth Lateran Council (1215)</w:t>
      </w:r>
    </w:p>
    <w:p w:rsidR="00000000" w:rsidDel="00000000" w:rsidP="00000000" w:rsidRDefault="00000000" w:rsidRPr="00000000" w14:paraId="00000045">
      <w:pPr>
        <w:spacing w:line="276" w:lineRule="auto"/>
        <w:ind w:left="0" w:right="70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76" w:lineRule="auto"/>
        <w:ind w:left="0" w:right="705"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“[Jesus Christ’s] body and blood are truly contained in the sacrament of the altar under the forms of bread and wine; the bread being changed (</w:t>
      </w:r>
      <w:r w:rsidDel="00000000" w:rsidR="00000000" w:rsidRPr="00000000">
        <w:rPr>
          <w:rFonts w:ascii="Times New Roman" w:cs="Times New Roman" w:eastAsia="Times New Roman" w:hAnsi="Times New Roman"/>
          <w:i w:val="1"/>
          <w:rtl w:val="0"/>
        </w:rPr>
        <w:t xml:space="preserve">transsubstantiatis</w:t>
      </w:r>
      <w:r w:rsidDel="00000000" w:rsidR="00000000" w:rsidRPr="00000000">
        <w:rPr>
          <w:rFonts w:ascii="Times New Roman" w:cs="Times New Roman" w:eastAsia="Times New Roman" w:hAnsi="Times New Roman"/>
          <w:rtl w:val="0"/>
        </w:rPr>
        <w:t xml:space="preserve">) by divine power into the body, and the wine into the blood.”</w:t>
      </w:r>
    </w:p>
    <w:p w:rsidR="00000000" w:rsidDel="00000000" w:rsidP="00000000" w:rsidRDefault="00000000" w:rsidRPr="00000000" w14:paraId="00000047">
      <w:pPr>
        <w:pageBreakBefore w:val="0"/>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pStyle w:val="Heading3"/>
        <w:rPr>
          <w:rFonts w:ascii="Times New Roman" w:cs="Times New Roman" w:eastAsia="Times New Roman" w:hAnsi="Times New Roman"/>
          <w:color w:val="000000"/>
          <w:sz w:val="24"/>
          <w:szCs w:val="24"/>
        </w:rPr>
      </w:pPr>
      <w:bookmarkStart w:colFirst="0" w:colLast="0" w:name="_ck65bnem2dwr" w:id="12"/>
      <w:bookmarkEnd w:id="12"/>
      <w:r w:rsidDel="00000000" w:rsidR="00000000" w:rsidRPr="00000000">
        <w:rPr>
          <w:rtl w:val="0"/>
        </w:rPr>
      </w:r>
    </w:p>
    <w:p w:rsidR="00000000" w:rsidDel="00000000" w:rsidP="00000000" w:rsidRDefault="00000000" w:rsidRPr="00000000" w14:paraId="00000049">
      <w:pPr>
        <w:pStyle w:val="Heading2"/>
        <w:rPr>
          <w:rFonts w:ascii="Times New Roman" w:cs="Times New Roman" w:eastAsia="Times New Roman" w:hAnsi="Times New Roman"/>
          <w:sz w:val="24"/>
          <w:szCs w:val="24"/>
        </w:rPr>
      </w:pPr>
      <w:bookmarkStart w:colFirst="0" w:colLast="0" w:name="_onccc4pqosx4" w:id="13"/>
      <w:bookmarkEnd w:id="13"/>
      <w:r w:rsidDel="00000000" w:rsidR="00000000" w:rsidRPr="00000000">
        <w:rPr>
          <w:rFonts w:ascii="Times New Roman" w:cs="Times New Roman" w:eastAsia="Times New Roman" w:hAnsi="Times New Roman"/>
          <w:rtl w:val="0"/>
        </w:rPr>
        <w:t xml:space="preserve">Seeds of Reform</w:t>
      </w:r>
      <w:r w:rsidDel="00000000" w:rsidR="00000000" w:rsidRPr="00000000">
        <w:rPr>
          <w:rtl w:val="0"/>
        </w:rPr>
      </w:r>
    </w:p>
    <w:p w:rsidR="00000000" w:rsidDel="00000000" w:rsidP="00000000" w:rsidRDefault="00000000" w:rsidRPr="00000000" w14:paraId="0000004A">
      <w:pPr>
        <w:pStyle w:val="Heading3"/>
        <w:rPr>
          <w:rFonts w:ascii="Times New Roman" w:cs="Times New Roman" w:eastAsia="Times New Roman" w:hAnsi="Times New Roman"/>
          <w:color w:val="000000"/>
          <w:sz w:val="24"/>
          <w:szCs w:val="24"/>
        </w:rPr>
      </w:pPr>
      <w:bookmarkStart w:colFirst="0" w:colLast="0" w:name="_e3ljxpbewevw" w:id="14"/>
      <w:bookmarkEnd w:id="14"/>
      <w:r w:rsidDel="00000000" w:rsidR="00000000" w:rsidRPr="00000000">
        <w:rPr>
          <w:rFonts w:ascii="Times New Roman" w:cs="Times New Roman" w:eastAsia="Times New Roman" w:hAnsi="Times New Roman"/>
          <w:color w:val="000000"/>
          <w:rtl w:val="0"/>
        </w:rPr>
        <w:t xml:space="preserve">John Wycliffe (1320s-1384)</w:t>
      </w:r>
      <w:r w:rsidDel="00000000" w:rsidR="00000000" w:rsidRPr="00000000">
        <w:rPr>
          <w:rtl w:val="0"/>
        </w:rPr>
      </w:r>
    </w:p>
    <w:p w:rsidR="00000000" w:rsidDel="00000000" w:rsidP="00000000" w:rsidRDefault="00000000" w:rsidRPr="00000000" w14:paraId="0000004B">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Lollards</w:t>
      </w:r>
    </w:p>
    <w:p w:rsidR="00000000" w:rsidDel="00000000" w:rsidP="00000000" w:rsidRDefault="00000000" w:rsidRPr="00000000" w14:paraId="0000004C">
      <w:pPr>
        <w:pStyle w:val="Heading4"/>
        <w:spacing w:line="276" w:lineRule="auto"/>
        <w:ind w:right="705"/>
        <w:rPr>
          <w:rFonts w:ascii="Times New Roman" w:cs="Times New Roman" w:eastAsia="Times New Roman" w:hAnsi="Times New Roman"/>
          <w:color w:val="000000"/>
        </w:rPr>
      </w:pPr>
      <w:bookmarkStart w:colFirst="0" w:colLast="0" w:name="_yw7qn960op3" w:id="15"/>
      <w:bookmarkEnd w:id="15"/>
      <w:r w:rsidDel="00000000" w:rsidR="00000000" w:rsidRPr="00000000">
        <w:rPr>
          <w:rFonts w:ascii="Times New Roman" w:cs="Times New Roman" w:eastAsia="Times New Roman" w:hAnsi="Times New Roman"/>
          <w:color w:val="000000"/>
          <w:rtl w:val="0"/>
        </w:rPr>
        <w:t xml:space="preserve">Bible Translation</w:t>
      </w:r>
    </w:p>
    <w:p w:rsidR="00000000" w:rsidDel="00000000" w:rsidP="00000000" w:rsidRDefault="00000000" w:rsidRPr="00000000" w14:paraId="0000004D">
      <w:pPr>
        <w:spacing w:line="276" w:lineRule="auto"/>
        <w:ind w:left="0" w:right="705"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 is impossible for any part of Holy Scripture to be wrong... In Holy Scripture is all the truth.”</w:t>
      </w:r>
    </w:p>
    <w:p w:rsidR="00000000" w:rsidDel="00000000" w:rsidP="00000000" w:rsidRDefault="00000000" w:rsidRPr="00000000" w14:paraId="0000004E">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0">
      <w:pPr>
        <w:pStyle w:val="Heading4"/>
        <w:rPr>
          <w:rFonts w:ascii="Times New Roman" w:cs="Times New Roman" w:eastAsia="Times New Roman" w:hAnsi="Times New Roman"/>
          <w:color w:val="000000"/>
        </w:rPr>
      </w:pPr>
      <w:bookmarkStart w:colFirst="0" w:colLast="0" w:name="_ow03iy82vxyl" w:id="16"/>
      <w:bookmarkEnd w:id="16"/>
      <w:r w:rsidDel="00000000" w:rsidR="00000000" w:rsidRPr="00000000">
        <w:rPr>
          <w:rFonts w:ascii="Times New Roman" w:cs="Times New Roman" w:eastAsia="Times New Roman" w:hAnsi="Times New Roman"/>
          <w:color w:val="000000"/>
          <w:rtl w:val="0"/>
        </w:rPr>
        <w:t xml:space="preserve">Justification</w:t>
      </w:r>
    </w:p>
    <w:p w:rsidR="00000000" w:rsidDel="00000000" w:rsidP="00000000" w:rsidRDefault="00000000" w:rsidRPr="00000000" w14:paraId="00000051">
      <w:pPr>
        <w:spacing w:line="276" w:lineRule="auto"/>
        <w:ind w:left="0" w:right="705"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“Trust wholly in Christ, rely altogether on His sufferings, beware of seeking to be justified in any other way than by His righteousness. Faith in our Lord Jesus Christ is sufficient for salvation, and that without faith it is impossible to please God; that the merit of Christ is able, by itself, to redeem all mankind from hell, and that this sufficiency is to be understood without any other cause concurring.”</w:t>
      </w:r>
      <w:r w:rsidDel="00000000" w:rsidR="00000000" w:rsidRPr="00000000">
        <w:rPr>
          <w:rtl w:val="0"/>
        </w:rPr>
      </w:r>
    </w:p>
    <w:p w:rsidR="00000000" w:rsidDel="00000000" w:rsidP="00000000" w:rsidRDefault="00000000" w:rsidRPr="00000000" w14:paraId="00000052">
      <w:pPr>
        <w:pageBreakBefore w:val="0"/>
        <w:rPr>
          <w:rFonts w:ascii="Times New Roman" w:cs="Times New Roman" w:eastAsia="Times New Roman" w:hAnsi="Times New Roman"/>
          <w:sz w:val="24"/>
          <w:szCs w:val="24"/>
        </w:rPr>
      </w:pPr>
      <w:r w:rsidDel="00000000" w:rsidR="00000000" w:rsidRPr="00000000">
        <w:rPr>
          <w:rtl w:val="0"/>
        </w:rPr>
      </w:r>
    </w:p>
    <w:sectPr>
      <w:headerReference r:id="rId6" w:type="default"/>
      <w:pgSz w:h="12240" w:w="15840" w:orient="landscape"/>
      <w:pgMar w:bottom="630" w:top="810" w:left="1440" w:right="720" w:header="0" w:footer="720"/>
      <w:pgNumType w:start="1"/>
      <w:cols w:equalWidth="0" w:num="2">
        <w:col w:space="720" w:w="6480"/>
        <w:col w:space="0" w:w="648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pageBreakBefore w:val="0"/>
      <w:rPr/>
    </w:pPr>
    <w:r w:rsidDel="00000000" w:rsidR="00000000" w:rsidRPr="00000000">
      <w:rPr>
        <w:rtl w:val="0"/>
      </w:rPr>
    </w:r>
  </w:p>
  <w:p w:rsidR="00000000" w:rsidDel="00000000" w:rsidP="00000000" w:rsidRDefault="00000000" w:rsidRPr="00000000" w14:paraId="00000054">
    <w:pPr>
      <w:pageBreakBefore w:val="0"/>
      <w:jc w:val="right"/>
      <w:rPr/>
    </w:pPr>
    <w:r w:rsidDel="00000000" w:rsidR="00000000" w:rsidRPr="00000000">
      <w:rPr>
        <w:rFonts w:ascii="Times New Roman" w:cs="Times New Roman" w:eastAsia="Times New Roman" w:hAnsi="Times New Roman"/>
        <w:sz w:val="20"/>
        <w:szCs w:val="20"/>
        <w:rtl w:val="0"/>
      </w:rPr>
      <w:t xml:space="preserve">Church History Core Seminar | Class 5</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