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Timeline of Luther’s Life</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0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1483 </w:t>
        <w:tab/>
        <w:t xml:space="preserve">July 6: Martin Luther born in Eisleben, Germany</w:t>
      </w:r>
    </w:p>
    <w:p w:rsidR="00000000" w:rsidDel="00000000" w:rsidP="00000000" w:rsidRDefault="00000000" w:rsidRPr="00000000" w14:paraId="0000000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1505 </w:t>
        <w:tab/>
        <w:t xml:space="preserve">Begins study of Law</w:t>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1505 </w:t>
        <w:tab/>
        <w:t xml:space="preserve">July 2: Vows to become monk after thunderstorm</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1505</w:t>
        <w:tab/>
        <w:t xml:space="preserve">July 17: Enters Augustinian order to become a monk</w:t>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1507</w:t>
        <w:tab/>
        <w:t xml:space="preserve">Conducts his first Mass</w:t>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1511</w:t>
        <w:tab/>
        <w:t xml:space="preserve">Transferred by Staupitz to Wittenberg from Erfurt</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1513-16</w:t>
        <w:tab/>
        <w:t xml:space="preserve">Lectures on Psalms, Romans, and Galatians at U. of Wittenburg</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1517</w:t>
        <w:tab/>
        <w:t xml:space="preserve">October 31: Announces 95 Theses in Wittenberg</w:t>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1518</w:t>
        <w:tab/>
        <w:t xml:space="preserve">April 26: Heidelberg Disputation</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1519</w:t>
        <w:tab/>
        <w:t xml:space="preserve">July 4–14: Debates Eck at Leipzig, Sola Scriptura is realized by Luther</w:t>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1520</w:t>
        <w:tab/>
      </w:r>
      <w:r w:rsidDel="00000000" w:rsidR="00000000" w:rsidRPr="00000000">
        <w:rPr>
          <w:rFonts w:ascii="Times New Roman" w:cs="Times New Roman" w:eastAsia="Times New Roman" w:hAnsi="Times New Roman"/>
          <w:i w:val="1"/>
          <w:sz w:val="20"/>
          <w:szCs w:val="20"/>
          <w:rtl w:val="0"/>
        </w:rPr>
        <w:t xml:space="preserve">Treatise on Good Works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To the Christian Nobility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Babylonian Captivity of the Church</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Freedom of a Christian </w:t>
      </w:r>
      <w:r w:rsidDel="00000000" w:rsidR="00000000" w:rsidRPr="00000000">
        <w:rPr>
          <w:rFonts w:ascii="Times New Roman" w:cs="Times New Roman" w:eastAsia="Times New Roman" w:hAnsi="Times New Roman"/>
          <w:sz w:val="20"/>
          <w:szCs w:val="20"/>
          <w:rtl w:val="0"/>
        </w:rPr>
        <w:t xml:space="preserve">are published</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1520</w:t>
        <w:tab/>
        <w:t xml:space="preserve">Pope Leo X issues papal bull giving Luther 60 days to recant</w:t>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1521</w:t>
        <w:tab/>
        <w:t xml:space="preserve">April 16–26: Luther’s defense at the Diet of Worms</w:t>
      </w:r>
    </w:p>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1521</w:t>
        <w:tab/>
        <w:t xml:space="preserve">May 4: Luther is hidden at the Wartburg castle</w:t>
      </w:r>
    </w:p>
    <w:p w:rsidR="00000000" w:rsidDel="00000000" w:rsidP="00000000" w:rsidRDefault="00000000" w:rsidRPr="00000000" w14:paraId="0000001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1522</w:t>
        <w:tab/>
        <w:t xml:space="preserve">Luther’s German translation of the New Testament published</w:t>
      </w:r>
    </w:p>
    <w:p w:rsidR="00000000" w:rsidDel="00000000" w:rsidP="00000000" w:rsidRDefault="00000000" w:rsidRPr="00000000" w14:paraId="0000001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1524</w:t>
        <w:tab/>
        <w:t xml:space="preserve">Peasants’ War begins. </w:t>
      </w:r>
    </w:p>
    <w:p w:rsidR="00000000" w:rsidDel="00000000" w:rsidP="00000000" w:rsidRDefault="00000000" w:rsidRPr="00000000" w14:paraId="0000001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1525</w:t>
        <w:tab/>
        <w:t xml:space="preserve">Luther marries Katherine Von Bora, a former nun</w:t>
      </w:r>
    </w:p>
    <w:p w:rsidR="00000000" w:rsidDel="00000000" w:rsidP="00000000" w:rsidRDefault="00000000" w:rsidRPr="00000000" w14:paraId="0000001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1525</w:t>
        <w:tab/>
        <w:t xml:space="preserve">Luther publishes </w:t>
      </w:r>
      <w:r w:rsidDel="00000000" w:rsidR="00000000" w:rsidRPr="00000000">
        <w:rPr>
          <w:rFonts w:ascii="Times New Roman" w:cs="Times New Roman" w:eastAsia="Times New Roman" w:hAnsi="Times New Roman"/>
          <w:i w:val="1"/>
          <w:sz w:val="20"/>
          <w:szCs w:val="20"/>
          <w:rtl w:val="0"/>
        </w:rPr>
        <w:t xml:space="preserve">On the Bondage of the Will </w:t>
      </w:r>
      <w:r w:rsidDel="00000000" w:rsidR="00000000" w:rsidRPr="00000000">
        <w:rPr>
          <w:rFonts w:ascii="Times New Roman" w:cs="Times New Roman" w:eastAsia="Times New Roman" w:hAnsi="Times New Roman"/>
          <w:sz w:val="20"/>
          <w:szCs w:val="20"/>
          <w:rtl w:val="0"/>
        </w:rPr>
        <w:t xml:space="preserve">against Erasmus</w:t>
      </w:r>
    </w:p>
    <w:p w:rsidR="00000000" w:rsidDel="00000000" w:rsidP="00000000" w:rsidRDefault="00000000" w:rsidRPr="00000000" w14:paraId="0000001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1529</w:t>
        <w:tab/>
        <w:t xml:space="preserve">Marburg Colloquy (Luther &amp; Zwingli split over the Lord’s Supper)</w:t>
      </w:r>
    </w:p>
    <w:p w:rsidR="00000000" w:rsidDel="00000000" w:rsidP="00000000" w:rsidRDefault="00000000" w:rsidRPr="00000000" w14:paraId="0000001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1530</w:t>
        <w:tab/>
        <w:t xml:space="preserve">June 25: The Augsburg Confession is presented</w:t>
      </w:r>
    </w:p>
    <w:p w:rsidR="00000000" w:rsidDel="00000000" w:rsidP="00000000" w:rsidRDefault="00000000" w:rsidRPr="00000000" w14:paraId="0000001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1546</w:t>
        <w:tab/>
        <w:t xml:space="preserve">February 18: Martin Luther dies at age 62 in Eisleben, Germany</w:t>
      </w:r>
    </w:p>
    <w:p w:rsidR="00000000" w:rsidDel="00000000" w:rsidP="00000000" w:rsidRDefault="00000000" w:rsidRPr="00000000" w14:paraId="00000017">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Further Reading</w:t>
      </w:r>
      <w:r w:rsidDel="00000000" w:rsidR="00000000" w:rsidRPr="00000000">
        <w:rPr>
          <w:rtl w:val="0"/>
        </w:rPr>
      </w:r>
    </w:p>
    <w:p w:rsidR="00000000" w:rsidDel="00000000" w:rsidP="00000000" w:rsidRDefault="00000000" w:rsidRPr="00000000" w14:paraId="00000019">
      <w:pPr>
        <w:pageBreakBefore w:val="0"/>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Roland Bainton, </w:t>
      </w:r>
      <w:r w:rsidDel="00000000" w:rsidR="00000000" w:rsidRPr="00000000">
        <w:rPr>
          <w:rFonts w:ascii="Times New Roman" w:cs="Times New Roman" w:eastAsia="Times New Roman" w:hAnsi="Times New Roman"/>
          <w:i w:val="1"/>
          <w:sz w:val="20"/>
          <w:szCs w:val="20"/>
          <w:rtl w:val="0"/>
        </w:rPr>
        <w:t xml:space="preserve">Here I Stand: A Life of Martin Luther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 York: Abingdon-Cokesbury Press), 1950.</w:t>
      </w:r>
    </w:p>
    <w:p w:rsidR="00000000" w:rsidDel="00000000" w:rsidP="00000000" w:rsidRDefault="00000000" w:rsidRPr="00000000" w14:paraId="0000001A">
      <w:pPr>
        <w:pageBreakBefore w:val="0"/>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Heiko A. Oberman, </w:t>
      </w:r>
      <w:r w:rsidDel="00000000" w:rsidR="00000000" w:rsidRPr="00000000">
        <w:rPr>
          <w:rFonts w:ascii="Times New Roman" w:cs="Times New Roman" w:eastAsia="Times New Roman" w:hAnsi="Times New Roman"/>
          <w:i w:val="1"/>
          <w:sz w:val="20"/>
          <w:szCs w:val="20"/>
          <w:rtl w:val="0"/>
        </w:rPr>
        <w:t xml:space="preserve">Luther: Man Between God and the Devil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 Haven, Conn.; London, 2006).</w:t>
      </w:r>
    </w:p>
    <w:p w:rsidR="00000000" w:rsidDel="00000000" w:rsidP="00000000" w:rsidRDefault="00000000" w:rsidRPr="00000000" w14:paraId="0000001B">
      <w:pPr>
        <w:pageBreakBefore w:val="0"/>
        <w:spacing w:line="240" w:lineRule="auto"/>
        <w:ind w:left="88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Bruce Gordon, Zwingli: </w:t>
      </w:r>
      <w:r w:rsidDel="00000000" w:rsidR="00000000" w:rsidRPr="00000000">
        <w:rPr>
          <w:rFonts w:ascii="Times New Roman" w:cs="Times New Roman" w:eastAsia="Times New Roman" w:hAnsi="Times New Roman"/>
          <w:i w:val="1"/>
          <w:sz w:val="20"/>
          <w:szCs w:val="20"/>
          <w:rtl w:val="0"/>
        </w:rPr>
        <w:t xml:space="preserve">God’s Armed Prophet</w:t>
      </w:r>
      <w:r w:rsidDel="00000000" w:rsidR="00000000" w:rsidRPr="00000000">
        <w:rPr>
          <w:rFonts w:ascii="Times New Roman" w:cs="Times New Roman" w:eastAsia="Times New Roman" w:hAnsi="Times New Roman"/>
          <w:sz w:val="20"/>
          <w:szCs w:val="20"/>
          <w:rtl w:val="0"/>
        </w:rPr>
        <w:t xml:space="preserve"> (New Haven: Yale University Press, 2021).</w:t>
      </w:r>
    </w:p>
    <w:p w:rsidR="00000000" w:rsidDel="00000000" w:rsidP="00000000" w:rsidRDefault="00000000" w:rsidRPr="00000000" w14:paraId="0000001C">
      <w:pPr>
        <w:pageBreakBefore w:val="0"/>
        <w:spacing w:line="240" w:lineRule="auto"/>
        <w:ind w:left="880" w:hanging="4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Questions? </w:t>
      </w:r>
    </w:p>
    <w:p w:rsidR="00000000" w:rsidDel="00000000" w:rsidP="00000000" w:rsidRDefault="00000000" w:rsidRPr="00000000" w14:paraId="0000001E">
      <w:pPr>
        <w:pageBreakBefore w:val="0"/>
        <w:spacing w:line="324.00000000000006" w:lineRule="auto"/>
        <w:ind w:left="0" w:firstLine="0"/>
        <w:rPr>
          <w:rFonts w:ascii="Times New Roman" w:cs="Times New Roman" w:eastAsia="Times New Roman" w:hAnsi="Times New Roman"/>
          <w:sz w:val="18"/>
          <w:szCs w:val="18"/>
        </w:rPr>
      </w:pPr>
      <w:hyperlink r:id="rId6">
        <w:r w:rsidDel="00000000" w:rsidR="00000000" w:rsidRPr="00000000">
          <w:rPr>
            <w:rFonts w:ascii="Times New Roman" w:cs="Times New Roman" w:eastAsia="Times New Roman" w:hAnsi="Times New Roman"/>
            <w:color w:val="1155cc"/>
            <w:sz w:val="18"/>
            <w:szCs w:val="18"/>
            <w:u w:val="single"/>
            <w:rtl w:val="0"/>
          </w:rPr>
          <w:t xml:space="preserve">caleb.morell@capbap.org</w:t>
        </w:r>
      </w:hyperlink>
      <w:r w:rsidDel="00000000" w:rsidR="00000000" w:rsidRPr="00000000">
        <w:rPr>
          <w:rtl w:val="0"/>
        </w:rPr>
      </w:r>
    </w:p>
    <w:p w:rsidR="00000000" w:rsidDel="00000000" w:rsidP="00000000" w:rsidRDefault="00000000" w:rsidRPr="00000000" w14:paraId="0000001F">
      <w:pPr>
        <w:pageBreakBefore w:val="0"/>
        <w:spacing w:line="324.00000000000006" w:lineRule="auto"/>
        <w:ind w:left="0" w:firstLine="0"/>
        <w:rPr>
          <w:rFonts w:ascii="Times New Roman" w:cs="Times New Roman" w:eastAsia="Times New Roman" w:hAnsi="Times New Roman"/>
          <w:sz w:val="18"/>
          <w:szCs w:val="18"/>
        </w:rPr>
      </w:pPr>
      <w:hyperlink r:id="rId7">
        <w:r w:rsidDel="00000000" w:rsidR="00000000" w:rsidRPr="00000000">
          <w:rPr>
            <w:rFonts w:ascii="Times New Roman" w:cs="Times New Roman" w:eastAsia="Times New Roman" w:hAnsi="Times New Roman"/>
            <w:color w:val="1155cc"/>
            <w:sz w:val="18"/>
            <w:szCs w:val="18"/>
            <w:u w:val="single"/>
            <w:rtl w:val="0"/>
          </w:rPr>
          <w:t xml:space="preserve">joseph.thigpen@capbap.org</w:t>
        </w:r>
      </w:hyperlink>
      <w:r w:rsidDel="00000000" w:rsidR="00000000" w:rsidRPr="00000000">
        <w:rPr>
          <w:rtl w:val="0"/>
        </w:rPr>
      </w:r>
    </w:p>
    <w:p w:rsidR="00000000" w:rsidDel="00000000" w:rsidP="00000000" w:rsidRDefault="00000000" w:rsidRPr="00000000" w14:paraId="00000020">
      <w:pPr>
        <w:pageBreakBefore w:val="0"/>
        <w:spacing w:line="324.00000000000006" w:lineRule="auto"/>
        <w:ind w:left="0" w:firstLine="0"/>
        <w:rPr>
          <w:rFonts w:ascii="Times New Roman" w:cs="Times New Roman" w:eastAsia="Times New Roman" w:hAnsi="Times New Roman"/>
          <w:sz w:val="18"/>
          <w:szCs w:val="18"/>
        </w:rPr>
      </w:pPr>
      <w:hyperlink r:id="rId8">
        <w:r w:rsidDel="00000000" w:rsidR="00000000" w:rsidRPr="00000000">
          <w:rPr>
            <w:rFonts w:ascii="Times New Roman" w:cs="Times New Roman" w:eastAsia="Times New Roman" w:hAnsi="Times New Roman"/>
            <w:color w:val="1155cc"/>
            <w:sz w:val="18"/>
            <w:szCs w:val="18"/>
            <w:u w:val="single"/>
            <w:rtl w:val="0"/>
          </w:rPr>
          <w:t xml:space="preserve">nick.gardner29@gmail.com</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Reformation Unleashed: Martin Luther and Ulrich Zwingli (1483- 1546)</w:t>
      </w:r>
    </w:p>
    <w:p w:rsidR="00000000" w:rsidDel="00000000" w:rsidP="00000000" w:rsidRDefault="00000000" w:rsidRPr="00000000" w14:paraId="0000002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Church History Core Seminar  |  Class 6 of 13</w:t>
      </w: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pStyle w:val="Title"/>
        <w:rPr/>
      </w:pPr>
      <w:bookmarkStart w:colFirst="0" w:colLast="0" w:name="_wux67eph5spi" w:id="0"/>
      <w:bookmarkEnd w:id="0"/>
      <w:r w:rsidDel="00000000" w:rsidR="00000000" w:rsidRPr="00000000">
        <w:rPr>
          <w:rtl w:val="0"/>
        </w:rPr>
        <w:t xml:space="preserve">Introduction: Is the Reformation Over? </w:t>
      </w:r>
    </w:p>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Style w:val="Heading4"/>
        <w:ind w:left="720" w:firstLine="0"/>
        <w:rPr/>
      </w:pPr>
      <w:bookmarkStart w:colFirst="0" w:colLast="0" w:name="_bpv69rxktbu" w:id="1"/>
      <w:bookmarkEnd w:id="1"/>
      <w:r w:rsidDel="00000000" w:rsidR="00000000" w:rsidRPr="00000000">
        <w:rPr>
          <w:rtl w:val="0"/>
        </w:rPr>
        <w:t xml:space="preserve">“The Holy Bible… is, and shall remain to the end of the world, the true center of Christian union, and the supreme standard by which all human conduct, creeds, and opinions should be tried.” (</w:t>
      </w:r>
      <w:r w:rsidDel="00000000" w:rsidR="00000000" w:rsidRPr="00000000">
        <w:rPr>
          <w:i w:val="1"/>
          <w:rtl w:val="0"/>
        </w:rPr>
        <w:t xml:space="preserve">Statement of Faith</w:t>
      </w:r>
      <w:r w:rsidDel="00000000" w:rsidR="00000000" w:rsidRPr="00000000">
        <w:rPr>
          <w:rtl w:val="0"/>
        </w:rPr>
        <w:t xml:space="preserve">, Article V). </w:t>
      </w:r>
    </w:p>
    <w:p w:rsidR="00000000" w:rsidDel="00000000" w:rsidP="00000000" w:rsidRDefault="00000000" w:rsidRPr="00000000" w14:paraId="0000002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pStyle w:val="Heading1"/>
        <w:rPr/>
      </w:pPr>
      <w:bookmarkStart w:colFirst="0" w:colLast="0" w:name="_wy53cesp5r7a" w:id="2"/>
      <w:bookmarkEnd w:id="2"/>
      <w:r w:rsidDel="00000000" w:rsidR="00000000" w:rsidRPr="00000000">
        <w:rPr>
          <w:rtl w:val="0"/>
        </w:rPr>
        <w:t xml:space="preserve">Context: Councils and Humanism </w:t>
      </w:r>
    </w:p>
    <w:p w:rsidR="00000000" w:rsidDel="00000000" w:rsidP="00000000" w:rsidRDefault="00000000" w:rsidRPr="00000000" w14:paraId="00000029">
      <w:pPr>
        <w:pStyle w:val="Heading1"/>
        <w:rPr/>
      </w:pPr>
      <w:bookmarkStart w:colFirst="0" w:colLast="0" w:name="_6fht9qeg6sux" w:id="3"/>
      <w:bookmarkEnd w:id="3"/>
      <w:r w:rsidDel="00000000" w:rsidR="00000000" w:rsidRPr="00000000">
        <w:rPr>
          <w:rtl w:val="0"/>
        </w:rPr>
      </w:r>
    </w:p>
    <w:p w:rsidR="00000000" w:rsidDel="00000000" w:rsidP="00000000" w:rsidRDefault="00000000" w:rsidRPr="00000000" w14:paraId="0000002A">
      <w:pPr>
        <w:pStyle w:val="Heading2"/>
        <w:rPr/>
      </w:pPr>
      <w:bookmarkStart w:colFirst="0" w:colLast="0" w:name="_jhdjwxpkf30c" w:id="4"/>
      <w:bookmarkEnd w:id="4"/>
      <w:r w:rsidDel="00000000" w:rsidR="00000000" w:rsidRPr="00000000">
        <w:rPr>
          <w:rtl w:val="0"/>
        </w:rPr>
        <w:t xml:space="preserve">Conciliarism</w:t>
      </w:r>
    </w:p>
    <w:p w:rsidR="00000000" w:rsidDel="00000000" w:rsidP="00000000" w:rsidRDefault="00000000" w:rsidRPr="00000000" w14:paraId="0000002B">
      <w:pPr>
        <w:pStyle w:val="Heading3"/>
        <w:ind w:left="720" w:firstLine="0"/>
        <w:rPr/>
      </w:pPr>
      <w:bookmarkStart w:colFirst="0" w:colLast="0" w:name="_4n1fb4xasoos" w:id="5"/>
      <w:bookmarkEnd w:id="5"/>
      <w:r w:rsidDel="00000000" w:rsidR="00000000" w:rsidRPr="00000000">
        <w:rPr>
          <w:rtl w:val="0"/>
        </w:rPr>
        <w:t xml:space="preserve">Western Schism (1378-1417)</w:t>
      </w:r>
    </w:p>
    <w:p w:rsidR="00000000" w:rsidDel="00000000" w:rsidP="00000000" w:rsidRDefault="00000000" w:rsidRPr="00000000" w14:paraId="0000002C">
      <w:pPr>
        <w:pStyle w:val="Heading3"/>
        <w:ind w:left="720" w:firstLine="0"/>
        <w:rPr/>
      </w:pPr>
      <w:bookmarkStart w:colFirst="0" w:colLast="0" w:name="_1dakw0avsvl7" w:id="6"/>
      <w:bookmarkEnd w:id="6"/>
      <w:r w:rsidDel="00000000" w:rsidR="00000000" w:rsidRPr="00000000">
        <w:rPr>
          <w:rtl w:val="0"/>
        </w:rPr>
        <w:t xml:space="preserve">Council of Constance (1414-1418)</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2"/>
        <w:rPr/>
      </w:pPr>
      <w:bookmarkStart w:colFirst="0" w:colLast="0" w:name="_2ebh5zz9tb2n" w:id="7"/>
      <w:bookmarkEnd w:id="7"/>
      <w:r w:rsidDel="00000000" w:rsidR="00000000" w:rsidRPr="00000000">
        <w:rPr>
          <w:rtl w:val="0"/>
        </w:rPr>
        <w:t xml:space="preserve">Humanism</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Style w:val="Heading3"/>
        <w:rPr/>
      </w:pPr>
      <w:bookmarkStart w:colFirst="0" w:colLast="0" w:name="_gkj6xzpwjggd" w:id="8"/>
      <w:bookmarkEnd w:id="8"/>
      <w:r w:rsidDel="00000000" w:rsidR="00000000" w:rsidRPr="00000000">
        <w:rPr>
          <w:rtl w:val="0"/>
        </w:rPr>
        <w:tab/>
        <w:t xml:space="preserve">Desiderius Erasmus (1469-1536)</w:t>
      </w:r>
    </w:p>
    <w:p w:rsidR="00000000" w:rsidDel="00000000" w:rsidP="00000000" w:rsidRDefault="00000000" w:rsidRPr="00000000" w14:paraId="00000031">
      <w:pPr>
        <w:pStyle w:val="Heading1"/>
        <w:rPr/>
      </w:pPr>
      <w:bookmarkStart w:colFirst="0" w:colLast="0" w:name="_b699uc6on0fv" w:id="9"/>
      <w:bookmarkEnd w:id="9"/>
      <w:r w:rsidDel="00000000" w:rsidR="00000000" w:rsidRPr="00000000">
        <w:rPr>
          <w:rtl w:val="0"/>
        </w:rPr>
      </w:r>
    </w:p>
    <w:p w:rsidR="00000000" w:rsidDel="00000000" w:rsidP="00000000" w:rsidRDefault="00000000" w:rsidRPr="00000000" w14:paraId="00000032">
      <w:pPr>
        <w:pStyle w:val="Heading1"/>
        <w:rPr/>
      </w:pPr>
      <w:bookmarkStart w:colFirst="0" w:colLast="0" w:name="_dai7kzwunh9v" w:id="10"/>
      <w:bookmarkEnd w:id="10"/>
      <w:r w:rsidDel="00000000" w:rsidR="00000000" w:rsidRPr="00000000">
        <w:rPr>
          <w:rtl w:val="0"/>
        </w:rPr>
      </w:r>
    </w:p>
    <w:p w:rsidR="00000000" w:rsidDel="00000000" w:rsidP="00000000" w:rsidRDefault="00000000" w:rsidRPr="00000000" w14:paraId="00000033">
      <w:pPr>
        <w:pStyle w:val="Heading1"/>
        <w:rPr/>
      </w:pPr>
      <w:bookmarkStart w:colFirst="0" w:colLast="0" w:name="_j9a772h0227o" w:id="11"/>
      <w:bookmarkEnd w:id="11"/>
      <w:r w:rsidDel="00000000" w:rsidR="00000000" w:rsidRPr="00000000">
        <w:rPr>
          <w:rtl w:val="0"/>
        </w:rPr>
        <w:t xml:space="preserve">Martin Luther (1483-1546)</w:t>
      </w:r>
    </w:p>
    <w:p w:rsidR="00000000" w:rsidDel="00000000" w:rsidP="00000000" w:rsidRDefault="00000000" w:rsidRPr="00000000" w14:paraId="0000003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pStyle w:val="Heading2"/>
        <w:rPr/>
      </w:pPr>
      <w:bookmarkStart w:colFirst="0" w:colLast="0" w:name="_8vf2uek41k28" w:id="12"/>
      <w:bookmarkEnd w:id="12"/>
      <w:r w:rsidDel="00000000" w:rsidR="00000000" w:rsidRPr="00000000">
        <w:rPr>
          <w:rtl w:val="0"/>
        </w:rPr>
        <w:t xml:space="preserve">Life &amp; Background: the Terror of God’s Righteousness</w:t>
      </w:r>
    </w:p>
    <w:p w:rsidR="00000000" w:rsidDel="00000000" w:rsidP="00000000" w:rsidRDefault="00000000" w:rsidRPr="00000000" w14:paraId="0000003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pStyle w:val="Heading3"/>
        <w:rPr>
          <w:sz w:val="24"/>
          <w:szCs w:val="24"/>
        </w:rPr>
      </w:pPr>
      <w:bookmarkStart w:colFirst="0" w:colLast="0" w:name="_7wjghr14bhg1" w:id="13"/>
      <w:bookmarkEnd w:id="13"/>
      <w:r w:rsidDel="00000000" w:rsidR="00000000" w:rsidRPr="00000000">
        <w:rPr>
          <w:sz w:val="28"/>
          <w:szCs w:val="28"/>
          <w:rtl w:val="0"/>
        </w:rPr>
        <w:tab/>
      </w:r>
      <w:r w:rsidDel="00000000" w:rsidR="00000000" w:rsidRPr="00000000">
        <w:rPr>
          <w:sz w:val="24"/>
          <w:szCs w:val="24"/>
          <w:rtl w:val="0"/>
        </w:rPr>
        <w:t xml:space="preserve">Luther the Monk</w:t>
      </w:r>
    </w:p>
    <w:p w:rsidR="00000000" w:rsidDel="00000000" w:rsidP="00000000" w:rsidRDefault="00000000" w:rsidRPr="00000000" w14:paraId="00000038">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Style w:val="Heading4"/>
        <w:rPr/>
      </w:pPr>
      <w:bookmarkStart w:colFirst="0" w:colLast="0" w:name="_7emy3t2egxlo" w:id="14"/>
      <w:bookmarkEnd w:id="14"/>
      <w:r w:rsidDel="00000000" w:rsidR="00000000" w:rsidRPr="00000000">
        <w:rPr>
          <w:rtl w:val="0"/>
        </w:rPr>
        <w:t xml:space="preserve"> “If ever a monk got to heaven by his monkery, it was I.”</w:t>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Style w:val="Heading3"/>
        <w:rPr/>
      </w:pPr>
      <w:bookmarkStart w:colFirst="0" w:colLast="0" w:name="_f461g8gh88lj" w:id="15"/>
      <w:bookmarkEnd w:id="15"/>
      <w:r w:rsidDel="00000000" w:rsidR="00000000" w:rsidRPr="00000000">
        <w:rPr>
          <w:rtl w:val="0"/>
        </w:rPr>
        <w:tab/>
        <w:t xml:space="preserve">Luther the Professor</w:t>
      </w:r>
    </w:p>
    <w:p w:rsidR="00000000" w:rsidDel="00000000" w:rsidP="00000000" w:rsidRDefault="00000000" w:rsidRPr="00000000" w14:paraId="0000003E">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pStyle w:val="Heading2"/>
        <w:rPr/>
      </w:pPr>
      <w:bookmarkStart w:colFirst="0" w:colLast="0" w:name="_yove51s7z1g6" w:id="16"/>
      <w:bookmarkEnd w:id="16"/>
      <w:r w:rsidDel="00000000" w:rsidR="00000000" w:rsidRPr="00000000">
        <w:rPr>
          <w:rtl w:val="0"/>
        </w:rPr>
        <w:t xml:space="preserve">Indulgence Controversy</w:t>
      </w:r>
    </w:p>
    <w:p w:rsidR="00000000" w:rsidDel="00000000" w:rsidP="00000000" w:rsidRDefault="00000000" w:rsidRPr="00000000" w14:paraId="0000004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Style w:val="Heading3"/>
        <w:ind w:firstLine="720"/>
        <w:rPr/>
      </w:pPr>
      <w:bookmarkStart w:colFirst="0" w:colLast="0" w:name="_z2xacs7w6pzz" w:id="17"/>
      <w:bookmarkEnd w:id="17"/>
      <w:r w:rsidDel="00000000" w:rsidR="00000000" w:rsidRPr="00000000">
        <w:rPr>
          <w:rtl w:val="0"/>
        </w:rPr>
        <w:t xml:space="preserve">95 Theses (</w:t>
      </w:r>
      <w:r w:rsidDel="00000000" w:rsidR="00000000" w:rsidRPr="00000000">
        <w:rPr>
          <w:rtl w:val="0"/>
        </w:rPr>
        <w:t xml:space="preserve">October 31, 1517)</w:t>
      </w:r>
    </w:p>
    <w:p w:rsidR="00000000" w:rsidDel="00000000" w:rsidP="00000000" w:rsidRDefault="00000000" w:rsidRPr="00000000" w14:paraId="0000004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Style w:val="Heading3"/>
        <w:ind w:firstLine="720"/>
        <w:rPr/>
      </w:pPr>
      <w:bookmarkStart w:colFirst="0" w:colLast="0" w:name="_cb68gseb04uc" w:id="18"/>
      <w:bookmarkEnd w:id="18"/>
      <w:r w:rsidDel="00000000" w:rsidR="00000000" w:rsidRPr="00000000">
        <w:rPr>
          <w:rtl w:val="0"/>
        </w:rPr>
        <w:t xml:space="preserve">The Diet of Worms (April, 1517)</w:t>
      </w:r>
    </w:p>
    <w:p w:rsidR="00000000" w:rsidDel="00000000" w:rsidP="00000000" w:rsidRDefault="00000000" w:rsidRPr="00000000" w14:paraId="0000004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pStyle w:val="Heading4"/>
        <w:ind w:left="720" w:firstLine="0"/>
        <w:rPr/>
      </w:pPr>
      <w:bookmarkStart w:colFirst="0" w:colLast="0" w:name="_adiuh03ihjhm" w:id="19"/>
      <w:bookmarkEnd w:id="19"/>
      <w:r w:rsidDel="00000000" w:rsidR="00000000" w:rsidRPr="00000000">
        <w:rPr>
          <w:rtl w:val="0"/>
        </w:rPr>
        <w:t xml:space="preserve">“</w:t>
      </w:r>
      <w:r w:rsidDel="00000000" w:rsidR="00000000" w:rsidRPr="00000000">
        <w:rPr>
          <w:rtl w:val="0"/>
        </w:rPr>
        <w:t xml:space="preserve">Unless I am convicted by Scripture and plain reason—I do not accept the authority of popes and councils, for they have contradicted each other—my conscience is captive to the Word of God. I cannot and I will not recant anything, for to go against conscience is neither right nor safe. God help me. Amen.”</w:t>
      </w:r>
    </w:p>
    <w:p w:rsidR="00000000" w:rsidDel="00000000" w:rsidP="00000000" w:rsidRDefault="00000000" w:rsidRPr="00000000" w14:paraId="0000004A">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pageBreakBefore w:val="0"/>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pageBreakBefore w:val="0"/>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pStyle w:val="Heading1"/>
        <w:rPr/>
      </w:pPr>
      <w:bookmarkStart w:colFirst="0" w:colLast="0" w:name="_wl08z21pb4c4" w:id="20"/>
      <w:bookmarkEnd w:id="20"/>
      <w:r w:rsidDel="00000000" w:rsidR="00000000" w:rsidRPr="00000000">
        <w:rPr>
          <w:rtl w:val="0"/>
        </w:rPr>
        <w:t xml:space="preserve">Huldrych Zwingli (1484 - 1531)</w:t>
      </w:r>
    </w:p>
    <w:p w:rsidR="00000000" w:rsidDel="00000000" w:rsidP="00000000" w:rsidRDefault="00000000" w:rsidRPr="00000000" w14:paraId="0000004E">
      <w:pPr>
        <w:pageBreakBefore w:val="0"/>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pStyle w:val="Heading2"/>
        <w:ind w:left="0" w:firstLine="0"/>
        <w:rPr/>
      </w:pPr>
      <w:bookmarkStart w:colFirst="0" w:colLast="0" w:name="_yzqfhf454vsi" w:id="21"/>
      <w:bookmarkEnd w:id="21"/>
      <w:r w:rsidDel="00000000" w:rsidR="00000000" w:rsidRPr="00000000">
        <w:rPr>
          <w:rtl w:val="0"/>
        </w:rPr>
        <w:t xml:space="preserve">Life and Background</w:t>
      </w:r>
    </w:p>
    <w:p w:rsidR="00000000" w:rsidDel="00000000" w:rsidP="00000000" w:rsidRDefault="00000000" w:rsidRPr="00000000" w14:paraId="00000050">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1">
      <w:pPr>
        <w:pageBreakBefore w:val="0"/>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Style w:val="Heading2"/>
        <w:rPr/>
      </w:pPr>
      <w:bookmarkStart w:colFirst="0" w:colLast="0" w:name="_e3883lrbm8kd" w:id="22"/>
      <w:bookmarkEnd w:id="22"/>
      <w:r w:rsidDel="00000000" w:rsidR="00000000" w:rsidRPr="00000000">
        <w:rPr>
          <w:rtl w:val="0"/>
        </w:rPr>
        <w:t xml:space="preserve">Humanism and “Ad Fontes!”</w:t>
      </w:r>
    </w:p>
    <w:p w:rsidR="00000000" w:rsidDel="00000000" w:rsidP="00000000" w:rsidRDefault="00000000" w:rsidRPr="00000000" w14:paraId="0000005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4"/>
        <w:rPr/>
      </w:pPr>
      <w:bookmarkStart w:colFirst="0" w:colLast="0" w:name="_9bouoz4tabsz" w:id="23"/>
      <w:bookmarkEnd w:id="23"/>
      <w:r w:rsidDel="00000000" w:rsidR="00000000" w:rsidRPr="00000000">
        <w:rPr>
          <w:rtl w:val="0"/>
        </w:rPr>
      </w:r>
    </w:p>
    <w:p w:rsidR="00000000" w:rsidDel="00000000" w:rsidP="00000000" w:rsidRDefault="00000000" w:rsidRPr="00000000" w14:paraId="00000055">
      <w:pPr>
        <w:pStyle w:val="Heading4"/>
        <w:rPr/>
      </w:pPr>
      <w:bookmarkStart w:colFirst="0" w:colLast="0" w:name="_ugu3cx79d725" w:id="24"/>
      <w:bookmarkEnd w:id="24"/>
      <w:r w:rsidDel="00000000" w:rsidR="00000000" w:rsidRPr="00000000">
        <w:rPr>
          <w:rtl w:val="0"/>
        </w:rPr>
        <w:t xml:space="preserve">“Before anyone among us had heard the name of Luther, I had begun in 1516 to preach the Gospel of Christ. When I entered the pulpit, I did not preach the words of the Gospel lesson appointed for the mass that morning, but rather from the biblical text alone.”</w:t>
      </w:r>
    </w:p>
    <w:p w:rsidR="00000000" w:rsidDel="00000000" w:rsidP="00000000" w:rsidRDefault="00000000" w:rsidRPr="00000000" w14:paraId="00000056">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Heading2"/>
        <w:rPr/>
      </w:pPr>
      <w:bookmarkStart w:colFirst="0" w:colLast="0" w:name="_ypp91ph11mi" w:id="25"/>
      <w:bookmarkEnd w:id="25"/>
      <w:r w:rsidDel="00000000" w:rsidR="00000000" w:rsidRPr="00000000">
        <w:rPr>
          <w:rtl w:val="0"/>
        </w:rPr>
        <w:t xml:space="preserve">Expositional Preaching </w:t>
      </w:r>
    </w:p>
    <w:p w:rsidR="00000000" w:rsidDel="00000000" w:rsidP="00000000" w:rsidRDefault="00000000" w:rsidRPr="00000000" w14:paraId="0000005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Style w:val="Heading4"/>
        <w:rPr/>
      </w:pPr>
      <w:bookmarkStart w:colFirst="0" w:colLast="0" w:name="_xtqyxvpsww18" w:id="26"/>
      <w:bookmarkEnd w:id="26"/>
      <w:r w:rsidDel="00000000" w:rsidR="00000000" w:rsidRPr="00000000">
        <w:rPr>
          <w:rtl w:val="0"/>
        </w:rPr>
        <w:t xml:space="preserve">“All our work, who preach the Gospel… consists only in preaching how we find the assurance of our salvation in the death of the living Son of God.”</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Style w:val="Heading2"/>
        <w:rPr/>
      </w:pPr>
      <w:bookmarkStart w:colFirst="0" w:colLast="0" w:name="_71k742os0vsm" w:id="27"/>
      <w:bookmarkEnd w:id="27"/>
      <w:r w:rsidDel="00000000" w:rsidR="00000000" w:rsidRPr="00000000">
        <w:rPr>
          <w:rtl w:val="0"/>
        </w:rPr>
        <w:t xml:space="preserve">Patient Reforming Work</w:t>
      </w:r>
    </w:p>
    <w:p w:rsidR="00000000" w:rsidDel="00000000" w:rsidP="00000000" w:rsidRDefault="00000000" w:rsidRPr="00000000" w14:paraId="0000005E">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Style w:val="Heading4"/>
        <w:rPr/>
      </w:pPr>
      <w:bookmarkStart w:colFirst="0" w:colLast="0" w:name="_8a9bftwyxm0s" w:id="28"/>
      <w:bookmarkEnd w:id="28"/>
      <w:r w:rsidDel="00000000" w:rsidR="00000000" w:rsidRPr="00000000">
        <w:rPr>
          <w:rtl w:val="0"/>
        </w:rPr>
        <w:t xml:space="preserve">“Behold the grandeur of the Christian shepherd! He feeds the flock with painstaking watchfulness, and does not constrain except as far as the word itself constrains.”</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Style w:val="Heading2"/>
        <w:rPr/>
      </w:pPr>
      <w:bookmarkStart w:colFirst="0" w:colLast="0" w:name="_x394qdrzxpcb" w:id="29"/>
      <w:bookmarkEnd w:id="29"/>
      <w:r w:rsidDel="00000000" w:rsidR="00000000" w:rsidRPr="00000000">
        <w:rPr>
          <w:rtl w:val="0"/>
        </w:rPr>
        <w:t xml:space="preserve">Partnerships with Friends</w:t>
      </w:r>
    </w:p>
    <w:p w:rsidR="00000000" w:rsidDel="00000000" w:rsidP="00000000" w:rsidRDefault="00000000" w:rsidRPr="00000000" w14:paraId="0000006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Style w:val="Heading4"/>
        <w:ind w:left="720" w:firstLine="0"/>
        <w:rPr/>
      </w:pPr>
      <w:bookmarkStart w:colFirst="0" w:colLast="0" w:name="_jsl6qjptmaxr" w:id="30"/>
      <w:bookmarkEnd w:id="30"/>
      <w:r w:rsidDel="00000000" w:rsidR="00000000" w:rsidRPr="00000000">
        <w:rPr>
          <w:rtl w:val="0"/>
        </w:rPr>
        <w:t xml:space="preserve">The Marburg Colloquy (October 1529) and Split between Luther and Zwingli over the Lord’s Supper</w:t>
      </w:r>
    </w:p>
    <w:p w:rsidR="00000000" w:rsidDel="00000000" w:rsidP="00000000" w:rsidRDefault="00000000" w:rsidRPr="00000000" w14:paraId="00000066">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Style w:val="Heading2"/>
        <w:rPr/>
      </w:pPr>
      <w:bookmarkStart w:colFirst="0" w:colLast="0" w:name="_jot326tyzgs9" w:id="31"/>
      <w:bookmarkEnd w:id="31"/>
      <w:r w:rsidDel="00000000" w:rsidR="00000000" w:rsidRPr="00000000">
        <w:rPr>
          <w:rtl w:val="0"/>
        </w:rPr>
        <w:t xml:space="preserve">Battle of Kappel and Death (</w:t>
      </w:r>
      <w:r w:rsidDel="00000000" w:rsidR="00000000" w:rsidRPr="00000000">
        <w:rPr>
          <w:rtl w:val="0"/>
        </w:rPr>
        <w:t xml:space="preserve">October 11, 1531)</w:t>
      </w:r>
    </w:p>
    <w:p w:rsidR="00000000" w:rsidDel="00000000" w:rsidP="00000000" w:rsidRDefault="00000000" w:rsidRPr="00000000" w14:paraId="00000069">
      <w:pPr>
        <w:pageBreakBefore w:val="0"/>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Style w:val="Heading1"/>
        <w:rPr/>
      </w:pPr>
      <w:bookmarkStart w:colFirst="0" w:colLast="0" w:name="_tpf0xqq3eg02" w:id="32"/>
      <w:bookmarkEnd w:id="32"/>
      <w:r w:rsidDel="00000000" w:rsidR="00000000" w:rsidRPr="00000000">
        <w:rPr>
          <w:rtl w:val="0"/>
        </w:rPr>
      </w:r>
    </w:p>
    <w:sectPr>
      <w:headerReference r:id="rId9" w:type="default"/>
      <w:pgSz w:h="12240" w:w="15840" w:orient="landscape"/>
      <w:pgMar w:bottom="1080" w:top="1080" w:left="1080" w:right="1080" w:header="0" w:footer="720"/>
      <w:pgNumType w:start="1"/>
      <w:cols w:equalWidth="0" w:num="2">
        <w:col w:space="72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Church History Core Seminar | Class 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sz w:val="28"/>
      <w:szCs w:val="28"/>
    </w:rPr>
  </w:style>
  <w:style w:type="paragraph" w:styleId="Heading2">
    <w:name w:val="heading 2"/>
    <w:basedOn w:val="Normal"/>
    <w:next w:val="Normal"/>
    <w:pPr>
      <w:keepNext w:val="1"/>
      <w:keepLines w:val="1"/>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pPr>
    <w:rPr>
      <w:rFonts w:ascii="Times New Roman" w:cs="Times New Roman" w:eastAsia="Times New Roman" w:hAnsi="Times New Roman"/>
      <w:sz w:val="24"/>
      <w:szCs w:val="24"/>
    </w:rPr>
  </w:style>
  <w:style w:type="paragraph" w:styleId="Heading4">
    <w:name w:val="heading 4"/>
    <w:basedOn w:val="Normal"/>
    <w:next w:val="Normal"/>
    <w:pPr>
      <w:keepNext w:val="1"/>
      <w:keepLines w:val="1"/>
      <w:ind w:left="720" w:firstLine="0"/>
    </w:pPr>
    <w:rPr>
      <w:rFonts w:ascii="Times New Roman" w:cs="Times New Roman" w:eastAsia="Times New Roman" w:hAnsi="Times New Roman"/>
      <w:sz w:val="20"/>
      <w:szCs w:val="20"/>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Times New Roman" w:cs="Times New Roman" w:eastAsia="Times New Roman" w:hAnsi="Times New Roman"/>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aleb.morell@capbap.org" TargetMode="External"/><Relationship Id="rId7" Type="http://schemas.openxmlformats.org/officeDocument/2006/relationships/hyperlink" Target="mailto:joseph.thigpen@capbap.org" TargetMode="External"/><Relationship Id="rId8" Type="http://schemas.openxmlformats.org/officeDocument/2006/relationships/hyperlink" Target="mailto:nick.gardner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