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Style w:val="Heading2"/>
        <w:rPr/>
      </w:pPr>
      <w:bookmarkStart w:colFirst="0" w:colLast="0" w:name="_tyrt79h0ag8z" w:id="0"/>
      <w:bookmarkEnd w:id="0"/>
      <w:r w:rsidDel="00000000" w:rsidR="00000000" w:rsidRPr="00000000">
        <w:rPr>
          <w:rtl w:val="0"/>
        </w:rPr>
        <w:t xml:space="preserve">Trent and Justification contin’d</w:t>
      </w: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line="259" w:lineRule="auto"/>
        <w:rPr>
          <w:rFonts w:ascii="Times New Roman" w:cs="Times New Roman" w:eastAsia="Times New Roman" w:hAnsi="Times New Roman"/>
          <w:sz w:val="24"/>
          <w:szCs w:val="24"/>
          <w:highlight w:val="white"/>
        </w:rPr>
      </w:pPr>
      <w:r w:rsidDel="00000000" w:rsidR="00000000" w:rsidRPr="00000000">
        <w:rPr>
          <w:rtl w:val="0"/>
        </w:rPr>
      </w:r>
    </w:p>
    <w:tbl>
      <w:tblPr>
        <w:tblStyle w:val="Table1"/>
        <w:tblW w:w="4673.061224489797" w:type="dxa"/>
        <w:jc w:val="left"/>
        <w:tblInd w:w="7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9.1836734693877"/>
        <w:gridCol w:w="1746.9387755102043"/>
        <w:gridCol w:w="1746.9387755102043"/>
        <w:tblGridChange w:id="0">
          <w:tblGrid>
            <w:gridCol w:w="1179.1836734693877"/>
            <w:gridCol w:w="1746.9387755102043"/>
            <w:gridCol w:w="1746.9387755102043"/>
          </w:tblGrid>
        </w:tblGridChange>
      </w:tblGrid>
      <w:tr>
        <w:trPr>
          <w:cantSplit w:val="1"/>
          <w:trHeight w:val="554.4" w:hRule="atLeast"/>
          <w:tblHeader w:val="0"/>
        </w:trPr>
        <w:tc>
          <w:tcPr>
            <w:gridSpan w:val="3"/>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259" w:lineRule="auto"/>
              <w:jc w:val="center"/>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Calvin and the Council of Trent on the Causes of Justification</w:t>
            </w:r>
            <w:r w:rsidDel="00000000" w:rsidR="00000000" w:rsidRPr="00000000">
              <w:rPr>
                <w:rFonts w:ascii="Times New Roman" w:cs="Times New Roman" w:eastAsia="Times New Roman" w:hAnsi="Times New Roman"/>
                <w:sz w:val="16"/>
                <w:szCs w:val="16"/>
                <w:highlight w:val="white"/>
                <w:rtl w:val="0"/>
              </w:rPr>
              <w:t xml:space="preserve"> </w:t>
            </w:r>
          </w:p>
        </w:tc>
      </w:tr>
      <w:tr>
        <w:trPr>
          <w:cantSplit w:val="1"/>
          <w:trHeight w:val="34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270"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259"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259"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Trent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259"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Calvin</w:t>
            </w:r>
            <w:r w:rsidDel="00000000" w:rsidR="00000000" w:rsidRPr="00000000">
              <w:rPr>
                <w:rtl w:val="0"/>
              </w:rPr>
            </w:r>
          </w:p>
        </w:tc>
      </w:tr>
      <w:tr>
        <w:trPr>
          <w:cantSplit w:val="1"/>
          <w:trHeight w:val="554.4"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259"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Final Cause </w:t>
            </w:r>
            <w:r w:rsidDel="00000000" w:rsidR="00000000" w:rsidRPr="00000000">
              <w:rPr>
                <w:rFonts w:ascii="Times New Roman" w:cs="Times New Roman" w:eastAsia="Times New Roman" w:hAnsi="Times New Roman"/>
                <w:sz w:val="16"/>
                <w:szCs w:val="16"/>
                <w:highlight w:val="white"/>
                <w:rtl w:val="0"/>
              </w:rPr>
              <w:t xml:space="preserve">(the goal)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259"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“The glory of God and of Christ”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259"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“the praise of God’s goodness” </w:t>
            </w:r>
          </w:p>
        </w:tc>
      </w:tr>
      <w:tr>
        <w:trPr>
          <w:cantSplit w:val="1"/>
          <w:trHeight w:val="554.4"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259"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Efficient Cause </w:t>
            </w:r>
            <w:r w:rsidDel="00000000" w:rsidR="00000000" w:rsidRPr="00000000">
              <w:rPr>
                <w:rFonts w:ascii="Times New Roman" w:cs="Times New Roman" w:eastAsia="Times New Roman" w:hAnsi="Times New Roman"/>
                <w:sz w:val="16"/>
                <w:szCs w:val="16"/>
                <w:highlight w:val="white"/>
                <w:rtl w:val="0"/>
              </w:rPr>
              <w:t xml:space="preserve">(the source)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259"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“the God of mercy”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259"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“the mercy of the Heavenly Father” </w:t>
            </w:r>
          </w:p>
        </w:tc>
      </w:tr>
      <w:tr>
        <w:trPr>
          <w:cantSplit w:val="1"/>
          <w:trHeight w:val="554.4"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259"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Material Cause </w:t>
            </w:r>
            <w:r w:rsidDel="00000000" w:rsidR="00000000" w:rsidRPr="00000000">
              <w:rPr>
                <w:rFonts w:ascii="Times New Roman" w:cs="Times New Roman" w:eastAsia="Times New Roman" w:hAnsi="Times New Roman"/>
                <w:sz w:val="16"/>
                <w:szCs w:val="16"/>
                <w:highlight w:val="white"/>
                <w:rtl w:val="0"/>
              </w:rPr>
              <w:t xml:space="preserve">(the substance)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259"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“our Lord Jesus Christ”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259"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“Christ, with his obedience” </w:t>
            </w:r>
          </w:p>
        </w:tc>
      </w:tr>
      <w:tr>
        <w:trPr>
          <w:cantSplit w:val="1"/>
          <w:trHeight w:val="554.4"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259"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b w:val="1"/>
                <w:sz w:val="16"/>
                <w:szCs w:val="16"/>
                <w:highlight w:val="white"/>
                <w:rtl w:val="0"/>
              </w:rPr>
              <w:t xml:space="preserve">Formal or Instrumental Cause </w:t>
            </w:r>
            <w:r w:rsidDel="00000000" w:rsidR="00000000" w:rsidRPr="00000000">
              <w:rPr>
                <w:rFonts w:ascii="Times New Roman" w:cs="Times New Roman" w:eastAsia="Times New Roman" w:hAnsi="Times New Roman"/>
                <w:sz w:val="16"/>
                <w:szCs w:val="16"/>
                <w:highlight w:val="white"/>
                <w:rtl w:val="0"/>
              </w:rPr>
              <w:t xml:space="preserve">(the means)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259"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“the sacrament of baptism”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259"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“through faith in his blood” </w:t>
            </w:r>
          </w:p>
        </w:tc>
      </w:tr>
    </w:tbl>
    <w:p w:rsidR="00000000" w:rsidDel="00000000" w:rsidP="00000000" w:rsidRDefault="00000000" w:rsidRPr="00000000" w14:paraId="0000001A">
      <w:pPr>
        <w:spacing w:line="259"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pageBreakBefore w:val="0"/>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pageBreakBefore w:val="0"/>
        <w:ind w:left="0" w:righ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Next week: </w:t>
      </w:r>
      <w:r w:rsidDel="00000000" w:rsidR="00000000" w:rsidRPr="00000000">
        <w:rPr>
          <w:rFonts w:ascii="Times New Roman" w:cs="Times New Roman" w:eastAsia="Times New Roman" w:hAnsi="Times New Roman"/>
          <w:i w:val="1"/>
          <w:sz w:val="24"/>
          <w:szCs w:val="24"/>
          <w:rtl w:val="0"/>
        </w:rPr>
        <w:t xml:space="preserve">English Reformation &amp; Puritanism</w:t>
      </w: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sz w:val="20"/>
          <w:szCs w:val="20"/>
        </w:rPr>
      </w:pPr>
      <w:hyperlink r:id="rId6">
        <w:r w:rsidDel="00000000" w:rsidR="00000000" w:rsidRPr="00000000">
          <w:rPr>
            <w:rFonts w:ascii="Times New Roman" w:cs="Times New Roman" w:eastAsia="Times New Roman" w:hAnsi="Times New Roman"/>
            <w:color w:val="1155cc"/>
            <w:sz w:val="20"/>
            <w:szCs w:val="20"/>
            <w:u w:val="single"/>
            <w:rtl w:val="0"/>
          </w:rPr>
          <w:t xml:space="preserve">caleb.morell@capbap.org</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1">
      <w:pPr>
        <w:pageBreakBefore w:val="0"/>
        <w:rPr>
          <w:rFonts w:ascii="Times New Roman" w:cs="Times New Roman" w:eastAsia="Times New Roman" w:hAnsi="Times New Roman"/>
          <w:sz w:val="20"/>
          <w:szCs w:val="20"/>
        </w:rPr>
      </w:pPr>
      <w:hyperlink r:id="rId7">
        <w:r w:rsidDel="00000000" w:rsidR="00000000" w:rsidRPr="00000000">
          <w:rPr>
            <w:rFonts w:ascii="Times New Roman" w:cs="Times New Roman" w:eastAsia="Times New Roman" w:hAnsi="Times New Roman"/>
            <w:color w:val="1155cc"/>
            <w:sz w:val="20"/>
            <w:szCs w:val="20"/>
            <w:u w:val="single"/>
            <w:rtl w:val="0"/>
          </w:rPr>
          <w:t xml:space="preserve">joseph.thigpen@capbap.org</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2">
      <w:pPr>
        <w:pageBreakBefore w:val="0"/>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color w:val="1155cc"/>
            <w:sz w:val="20"/>
            <w:szCs w:val="20"/>
            <w:u w:val="single"/>
            <w:rtl w:val="0"/>
          </w:rPr>
          <w:t xml:space="preserve">nick.gardner.29@gmail.com</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3">
      <w:pPr>
        <w:pStyle w:val="Title"/>
        <w:rPr/>
      </w:pPr>
      <w:bookmarkStart w:colFirst="0" w:colLast="0" w:name="_2vploqggqvbj" w:id="1"/>
      <w:bookmarkEnd w:id="1"/>
      <w:r w:rsidDel="00000000" w:rsidR="00000000" w:rsidRPr="00000000">
        <w:rPr>
          <w:rtl w:val="0"/>
        </w:rPr>
      </w:r>
    </w:p>
    <w:p w:rsidR="00000000" w:rsidDel="00000000" w:rsidP="00000000" w:rsidRDefault="00000000" w:rsidRPr="00000000" w14:paraId="00000024">
      <w:pPr>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Reformation Contested: Calvin and the Council of Trent (1509-1564)</w:t>
      </w:r>
    </w:p>
    <w:p w:rsidR="00000000" w:rsidDel="00000000" w:rsidP="00000000" w:rsidRDefault="00000000" w:rsidRPr="00000000" w14:paraId="00000026">
      <w:pPr>
        <w:jc w:val="center"/>
        <w:rPr/>
      </w:pPr>
      <w:r w:rsidDel="00000000" w:rsidR="00000000" w:rsidRPr="00000000">
        <w:rPr>
          <w:rFonts w:ascii="Times New Roman" w:cs="Times New Roman" w:eastAsia="Times New Roman" w:hAnsi="Times New Roman"/>
          <w:sz w:val="24"/>
          <w:szCs w:val="24"/>
          <w:rtl w:val="0"/>
        </w:rPr>
        <w:t xml:space="preserve">Church History Core Seminar  |  Class 7 of 13</w:t>
      </w: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pStyle w:val="Heading1"/>
        <w:rPr/>
      </w:pPr>
      <w:bookmarkStart w:colFirst="0" w:colLast="0" w:name="_48gz5xm3biv2" w:id="2"/>
      <w:bookmarkEnd w:id="2"/>
      <w:r w:rsidDel="00000000" w:rsidR="00000000" w:rsidRPr="00000000">
        <w:rPr>
          <w:rtl w:val="0"/>
        </w:rPr>
        <w:t xml:space="preserve">1. John Calvin (1509-1564)</w:t>
      </w:r>
    </w:p>
    <w:p w:rsidR="00000000" w:rsidDel="00000000" w:rsidP="00000000" w:rsidRDefault="00000000" w:rsidRPr="00000000" w14:paraId="0000002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Style w:val="Heading3"/>
        <w:rPr>
          <w:rFonts w:ascii="Times New Roman" w:cs="Times New Roman" w:eastAsia="Times New Roman" w:hAnsi="Times New Roman"/>
          <w:sz w:val="24"/>
          <w:szCs w:val="24"/>
        </w:rPr>
      </w:pPr>
      <w:bookmarkStart w:colFirst="0" w:colLast="0" w:name="_4rj8n3x2ixlt" w:id="3"/>
      <w:bookmarkEnd w:id="3"/>
      <w:r w:rsidDel="00000000" w:rsidR="00000000" w:rsidRPr="00000000">
        <w:rPr>
          <w:rtl w:val="0"/>
        </w:rPr>
        <w:t xml:space="preserve">1509 - Born in Noyon, France</w:t>
      </w:r>
      <w:r w:rsidDel="00000000" w:rsidR="00000000" w:rsidRPr="00000000">
        <w:rPr>
          <w:rtl w:val="0"/>
        </w:rPr>
      </w:r>
    </w:p>
    <w:p w:rsidR="00000000" w:rsidDel="00000000" w:rsidP="00000000" w:rsidRDefault="00000000" w:rsidRPr="00000000" w14:paraId="0000002E">
      <w:pPr>
        <w:pStyle w:val="Heading3"/>
        <w:ind w:right="705"/>
        <w:rPr>
          <w:rFonts w:ascii="Times New Roman" w:cs="Times New Roman" w:eastAsia="Times New Roman" w:hAnsi="Times New Roman"/>
          <w:sz w:val="24"/>
          <w:szCs w:val="24"/>
        </w:rPr>
      </w:pPr>
      <w:bookmarkStart w:colFirst="0" w:colLast="0" w:name="_e72j0iv5wf91" w:id="4"/>
      <w:bookmarkEnd w:id="4"/>
      <w:r w:rsidDel="00000000" w:rsidR="00000000" w:rsidRPr="00000000">
        <w:rPr>
          <w:rtl w:val="0"/>
        </w:rPr>
        <w:t xml:space="preserve">1533 - Calvin’s conversion</w:t>
      </w:r>
      <w:r w:rsidDel="00000000" w:rsidR="00000000" w:rsidRPr="00000000">
        <w:rPr>
          <w:rtl w:val="0"/>
        </w:rPr>
      </w:r>
    </w:p>
    <w:p w:rsidR="00000000" w:rsidDel="00000000" w:rsidP="00000000" w:rsidRDefault="00000000" w:rsidRPr="00000000" w14:paraId="0000002F">
      <w:pPr>
        <w:pStyle w:val="Heading3"/>
        <w:ind w:right="705"/>
        <w:rPr>
          <w:rFonts w:ascii="Times New Roman" w:cs="Times New Roman" w:eastAsia="Times New Roman" w:hAnsi="Times New Roman"/>
          <w:sz w:val="24"/>
          <w:szCs w:val="24"/>
        </w:rPr>
      </w:pPr>
      <w:bookmarkStart w:colFirst="0" w:colLast="0" w:name="_xu558yl5tc0u" w:id="5"/>
      <w:bookmarkEnd w:id="5"/>
      <w:r w:rsidDel="00000000" w:rsidR="00000000" w:rsidRPr="00000000">
        <w:rPr>
          <w:rtl w:val="0"/>
        </w:rPr>
        <w:t xml:space="preserve">1535 - Flees to Basel. Publishes </w:t>
      </w:r>
      <w:r w:rsidDel="00000000" w:rsidR="00000000" w:rsidRPr="00000000">
        <w:rPr>
          <w:i w:val="1"/>
          <w:rtl w:val="0"/>
        </w:rPr>
        <w:t xml:space="preserve">Institutes </w:t>
      </w:r>
      <w:r w:rsidDel="00000000" w:rsidR="00000000" w:rsidRPr="00000000">
        <w:rPr>
          <w:rtl w:val="0"/>
        </w:rPr>
        <w:t xml:space="preserve">while in Basel at age 26. </w:t>
      </w:r>
      <w:r w:rsidDel="00000000" w:rsidR="00000000" w:rsidRPr="00000000">
        <w:rPr>
          <w:rtl w:val="0"/>
        </w:rPr>
      </w:r>
    </w:p>
    <w:p w:rsidR="00000000" w:rsidDel="00000000" w:rsidP="00000000" w:rsidRDefault="00000000" w:rsidRPr="00000000" w14:paraId="00000030">
      <w:pPr>
        <w:pStyle w:val="Heading3"/>
        <w:ind w:right="705"/>
        <w:rPr>
          <w:rFonts w:ascii="Times New Roman" w:cs="Times New Roman" w:eastAsia="Times New Roman" w:hAnsi="Times New Roman"/>
          <w:sz w:val="24"/>
          <w:szCs w:val="24"/>
        </w:rPr>
      </w:pPr>
      <w:bookmarkStart w:colFirst="0" w:colLast="0" w:name="_erfssrrxqpnu" w:id="6"/>
      <w:bookmarkEnd w:id="6"/>
      <w:r w:rsidDel="00000000" w:rsidR="00000000" w:rsidRPr="00000000">
        <w:rPr>
          <w:rtl w:val="0"/>
        </w:rPr>
        <w:t xml:space="preserve">1536 - Geneva &amp; William Farel</w:t>
      </w:r>
      <w:r w:rsidDel="00000000" w:rsidR="00000000" w:rsidRPr="00000000">
        <w:rPr>
          <w:rtl w:val="0"/>
        </w:rPr>
      </w:r>
    </w:p>
    <w:p w:rsidR="00000000" w:rsidDel="00000000" w:rsidP="00000000" w:rsidRDefault="00000000" w:rsidRPr="00000000" w14:paraId="00000031">
      <w:pPr>
        <w:pStyle w:val="Heading3"/>
        <w:rPr>
          <w:rFonts w:ascii="Times New Roman" w:cs="Times New Roman" w:eastAsia="Times New Roman" w:hAnsi="Times New Roman"/>
          <w:sz w:val="24"/>
          <w:szCs w:val="24"/>
        </w:rPr>
      </w:pPr>
      <w:bookmarkStart w:colFirst="0" w:colLast="0" w:name="_o9e93t36v5jg" w:id="7"/>
      <w:bookmarkEnd w:id="7"/>
      <w:r w:rsidDel="00000000" w:rsidR="00000000" w:rsidRPr="00000000">
        <w:rPr>
          <w:rtl w:val="0"/>
        </w:rPr>
        <w:t xml:space="preserve">1538-1541 - Exile in Strasbourg with Martin Bucer (marries Idellete)</w:t>
      </w:r>
      <w:r w:rsidDel="00000000" w:rsidR="00000000" w:rsidRPr="00000000">
        <w:rPr>
          <w:rtl w:val="0"/>
        </w:rPr>
      </w:r>
    </w:p>
    <w:p w:rsidR="00000000" w:rsidDel="00000000" w:rsidP="00000000" w:rsidRDefault="00000000" w:rsidRPr="00000000" w14:paraId="00000032">
      <w:pPr>
        <w:pStyle w:val="Heading3"/>
        <w:rPr>
          <w:rFonts w:ascii="Times New Roman" w:cs="Times New Roman" w:eastAsia="Times New Roman" w:hAnsi="Times New Roman"/>
          <w:sz w:val="24"/>
          <w:szCs w:val="24"/>
        </w:rPr>
      </w:pPr>
      <w:bookmarkStart w:colFirst="0" w:colLast="0" w:name="_uq8ijpwkn971" w:id="8"/>
      <w:bookmarkEnd w:id="8"/>
      <w:r w:rsidDel="00000000" w:rsidR="00000000" w:rsidRPr="00000000">
        <w:rPr>
          <w:rtl w:val="0"/>
        </w:rPr>
        <w:t xml:space="preserve">1541 - Return to Geneva</w:t>
      </w:r>
      <w:r w:rsidDel="00000000" w:rsidR="00000000" w:rsidRPr="00000000">
        <w:rPr>
          <w:rtl w:val="0"/>
        </w:rPr>
      </w:r>
    </w:p>
    <w:p w:rsidR="00000000" w:rsidDel="00000000" w:rsidP="00000000" w:rsidRDefault="00000000" w:rsidRPr="00000000" w14:paraId="00000033">
      <w:pPr>
        <w:pStyle w:val="Heading3"/>
        <w:rPr>
          <w:rFonts w:ascii="Times New Roman" w:cs="Times New Roman" w:eastAsia="Times New Roman" w:hAnsi="Times New Roman"/>
          <w:sz w:val="24"/>
          <w:szCs w:val="24"/>
        </w:rPr>
      </w:pPr>
      <w:bookmarkStart w:colFirst="0" w:colLast="0" w:name="_il4qpea5m787" w:id="9"/>
      <w:bookmarkEnd w:id="9"/>
      <w:r w:rsidDel="00000000" w:rsidR="00000000" w:rsidRPr="00000000">
        <w:rPr>
          <w:rtl w:val="0"/>
        </w:rPr>
        <w:t xml:space="preserve">1555 - Church finally granted control over discipline</w:t>
      </w:r>
      <w:r w:rsidDel="00000000" w:rsidR="00000000" w:rsidRPr="00000000">
        <w:rPr>
          <w:rtl w:val="0"/>
        </w:rPr>
      </w:r>
    </w:p>
    <w:p w:rsidR="00000000" w:rsidDel="00000000" w:rsidP="00000000" w:rsidRDefault="00000000" w:rsidRPr="00000000" w14:paraId="00000034">
      <w:pPr>
        <w:pStyle w:val="Heading3"/>
        <w:rPr>
          <w:rFonts w:ascii="Times New Roman" w:cs="Times New Roman" w:eastAsia="Times New Roman" w:hAnsi="Times New Roman"/>
          <w:sz w:val="24"/>
          <w:szCs w:val="24"/>
        </w:rPr>
      </w:pPr>
      <w:bookmarkStart w:colFirst="0" w:colLast="0" w:name="_4ryq9aqnu244" w:id="10"/>
      <w:bookmarkEnd w:id="10"/>
      <w:r w:rsidDel="00000000" w:rsidR="00000000" w:rsidRPr="00000000">
        <w:rPr>
          <w:rtl w:val="0"/>
        </w:rPr>
        <w:t xml:space="preserve">1558 - Starts Genevan Academy</w:t>
      </w:r>
      <w:r w:rsidDel="00000000" w:rsidR="00000000" w:rsidRPr="00000000">
        <w:rPr>
          <w:rtl w:val="0"/>
        </w:rPr>
      </w:r>
    </w:p>
    <w:p w:rsidR="00000000" w:rsidDel="00000000" w:rsidP="00000000" w:rsidRDefault="00000000" w:rsidRPr="00000000" w14:paraId="00000035">
      <w:pPr>
        <w:pStyle w:val="Heading3"/>
        <w:rPr>
          <w:rFonts w:ascii="Times New Roman" w:cs="Times New Roman" w:eastAsia="Times New Roman" w:hAnsi="Times New Roman"/>
          <w:sz w:val="24"/>
          <w:szCs w:val="24"/>
        </w:rPr>
      </w:pPr>
      <w:bookmarkStart w:colFirst="0" w:colLast="0" w:name="_8p6tzwgrt3z7" w:id="11"/>
      <w:bookmarkEnd w:id="11"/>
      <w:r w:rsidDel="00000000" w:rsidR="00000000" w:rsidRPr="00000000">
        <w:rPr>
          <w:rtl w:val="0"/>
        </w:rPr>
        <w:t xml:space="preserve">1559 - Completes definitive edition of the </w:t>
      </w:r>
      <w:r w:rsidDel="00000000" w:rsidR="00000000" w:rsidRPr="00000000">
        <w:rPr>
          <w:i w:val="1"/>
          <w:rtl w:val="0"/>
        </w:rPr>
        <w:t xml:space="preserve">Institutes</w:t>
      </w:r>
      <w:r w:rsidDel="00000000" w:rsidR="00000000" w:rsidRPr="00000000">
        <w:rPr>
          <w:rtl w:val="0"/>
        </w:rPr>
      </w:r>
    </w:p>
    <w:p w:rsidR="00000000" w:rsidDel="00000000" w:rsidP="00000000" w:rsidRDefault="00000000" w:rsidRPr="00000000" w14:paraId="00000036">
      <w:pPr>
        <w:pStyle w:val="Heading3"/>
        <w:rPr/>
      </w:pPr>
      <w:bookmarkStart w:colFirst="0" w:colLast="0" w:name="_5ayq5cio296r" w:id="12"/>
      <w:bookmarkEnd w:id="12"/>
      <w:r w:rsidDel="00000000" w:rsidR="00000000" w:rsidRPr="00000000">
        <w:rPr>
          <w:rtl w:val="0"/>
        </w:rPr>
        <w:t xml:space="preserve">1564 - Died on May 27 at age 55. </w:t>
      </w:r>
    </w:p>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pStyle w:val="Heading1"/>
        <w:rPr/>
      </w:pPr>
      <w:bookmarkStart w:colFirst="0" w:colLast="0" w:name="_ffd08kgpvvmd" w:id="13"/>
      <w:bookmarkEnd w:id="13"/>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1"/>
        <w:rPr/>
      </w:pPr>
      <w:bookmarkStart w:colFirst="0" w:colLast="0" w:name="_fvc264gc5s1i" w:id="14"/>
      <w:bookmarkEnd w:id="14"/>
      <w:r w:rsidDel="00000000" w:rsidR="00000000" w:rsidRPr="00000000">
        <w:rPr>
          <w:rtl w:val="0"/>
        </w:rPr>
        <w:t xml:space="preserve">2. Council of Trent (1545-1563)</w:t>
      </w:r>
    </w:p>
    <w:p w:rsidR="00000000" w:rsidDel="00000000" w:rsidP="00000000" w:rsidRDefault="00000000" w:rsidRPr="00000000" w14:paraId="0000003B">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pStyle w:val="Heading2"/>
        <w:rPr>
          <w:sz w:val="24"/>
          <w:szCs w:val="24"/>
        </w:rPr>
      </w:pPr>
      <w:bookmarkStart w:colFirst="0" w:colLast="0" w:name="_cqpwwqhxkm23" w:id="15"/>
      <w:bookmarkEnd w:id="15"/>
      <w:r w:rsidDel="00000000" w:rsidR="00000000" w:rsidRPr="00000000">
        <w:rPr>
          <w:rtl w:val="0"/>
        </w:rPr>
        <w:t xml:space="preserve">The “Dangerous Game of Council”</w:t>
      </w: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pStyle w:val="Heading4"/>
        <w:ind w:left="720" w:firstLine="0"/>
        <w:rPr/>
      </w:pPr>
      <w:bookmarkStart w:colFirst="0" w:colLast="0" w:name="_o28pyl6sbpfv" w:id="16"/>
      <w:bookmarkEnd w:id="16"/>
      <w:r w:rsidDel="00000000" w:rsidR="00000000" w:rsidRPr="00000000">
        <w:rPr>
          <w:rtl w:val="0"/>
        </w:rPr>
        <w:t xml:space="preserve">February 5, 1523: Charles V demands a council. </w:t>
      </w:r>
    </w:p>
    <w:p w:rsidR="00000000" w:rsidDel="00000000" w:rsidP="00000000" w:rsidRDefault="00000000" w:rsidRPr="00000000" w14:paraId="0000003F">
      <w:pPr>
        <w:pStyle w:val="Heading4"/>
        <w:ind w:left="720" w:firstLine="0"/>
        <w:rPr/>
      </w:pPr>
      <w:bookmarkStart w:colFirst="0" w:colLast="0" w:name="_dhkka1w47s6g" w:id="17"/>
      <w:bookmarkEnd w:id="17"/>
      <w:r w:rsidDel="00000000" w:rsidR="00000000" w:rsidRPr="00000000">
        <w:rPr>
          <w:rtl w:val="0"/>
        </w:rPr>
      </w:r>
    </w:p>
    <w:p w:rsidR="00000000" w:rsidDel="00000000" w:rsidP="00000000" w:rsidRDefault="00000000" w:rsidRPr="00000000" w14:paraId="00000040">
      <w:pPr>
        <w:pStyle w:val="Heading4"/>
        <w:ind w:left="720" w:firstLine="0"/>
        <w:rPr/>
      </w:pPr>
      <w:bookmarkStart w:colFirst="0" w:colLast="0" w:name="_554i0dfr1h01" w:id="18"/>
      <w:bookmarkEnd w:id="18"/>
      <w:r w:rsidDel="00000000" w:rsidR="00000000" w:rsidRPr="00000000">
        <w:rPr>
          <w:rtl w:val="0"/>
        </w:rPr>
        <w:t xml:space="preserve">May 6, 1527: Charles V invades Rome. </w:t>
      </w:r>
    </w:p>
    <w:p w:rsidR="00000000" w:rsidDel="00000000" w:rsidP="00000000" w:rsidRDefault="00000000" w:rsidRPr="00000000" w14:paraId="00000041">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pStyle w:val="Heading4"/>
        <w:rPr/>
      </w:pPr>
      <w:bookmarkStart w:colFirst="0" w:colLast="0" w:name="_saypykamv6tl" w:id="19"/>
      <w:bookmarkEnd w:id="19"/>
      <w:r w:rsidDel="00000000" w:rsidR="00000000" w:rsidRPr="00000000">
        <w:rPr>
          <w:rtl w:val="0"/>
        </w:rPr>
        <w:t xml:space="preserve">“B</w:t>
      </w:r>
      <w:r w:rsidDel="00000000" w:rsidR="00000000" w:rsidRPr="00000000">
        <w:rPr>
          <w:rtl w:val="0"/>
        </w:rPr>
        <w:t xml:space="preserve">etween the bull Excurge Domine excommunicating Martin Luther in June 1520 and the convening of the Council of Trent in December 1545, 25 years passed, because the Papacy feared calling a Council it could not control.”</w:t>
      </w:r>
    </w:p>
    <w:p w:rsidR="00000000" w:rsidDel="00000000" w:rsidP="00000000" w:rsidRDefault="00000000" w:rsidRPr="00000000" w14:paraId="00000044">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pStyle w:val="Heading2"/>
        <w:rPr/>
      </w:pPr>
      <w:bookmarkStart w:colFirst="0" w:colLast="0" w:name="_vrqsqant9ao0" w:id="20"/>
      <w:bookmarkEnd w:id="20"/>
      <w:r w:rsidDel="00000000" w:rsidR="00000000" w:rsidRPr="00000000">
        <w:rPr>
          <w:rtl w:val="0"/>
        </w:rPr>
        <w:t xml:space="preserve">Structural </w:t>
      </w:r>
      <w:r w:rsidDel="00000000" w:rsidR="00000000" w:rsidRPr="00000000">
        <w:rPr>
          <w:rtl w:val="0"/>
        </w:rPr>
        <w:t xml:space="preserve">Reforms: Bishops &amp; Benefices </w:t>
      </w:r>
    </w:p>
    <w:p w:rsidR="00000000" w:rsidDel="00000000" w:rsidP="00000000" w:rsidRDefault="00000000" w:rsidRPr="00000000" w14:paraId="0000004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Heading4"/>
        <w:ind w:left="720" w:firstLine="0"/>
        <w:rPr/>
      </w:pPr>
      <w:bookmarkStart w:colFirst="0" w:colLast="0" w:name="_k0igiwrt9xru" w:id="21"/>
      <w:bookmarkEnd w:id="21"/>
      <w:r w:rsidDel="00000000" w:rsidR="00000000" w:rsidRPr="00000000">
        <w:rPr>
          <w:rtl w:val="0"/>
        </w:rPr>
        <w:t xml:space="preserve">“The heart of Tridentine reform was to get bishops and pastors back home to do their job.” - John O’Malley</w:t>
      </w:r>
    </w:p>
    <w:p w:rsidR="00000000" w:rsidDel="00000000" w:rsidP="00000000" w:rsidRDefault="00000000" w:rsidRPr="00000000" w14:paraId="0000004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Style w:val="Heading2"/>
        <w:rPr/>
      </w:pPr>
      <w:bookmarkStart w:colFirst="0" w:colLast="0" w:name="_85ikfi6s3seh" w:id="22"/>
      <w:bookmarkEnd w:id="22"/>
      <w:r w:rsidDel="00000000" w:rsidR="00000000" w:rsidRPr="00000000">
        <w:rPr>
          <w:rtl w:val="0"/>
        </w:rPr>
        <w:t xml:space="preserve">Scripture &amp; Authority</w:t>
      </w:r>
    </w:p>
    <w:p w:rsidR="00000000" w:rsidDel="00000000" w:rsidP="00000000" w:rsidRDefault="00000000" w:rsidRPr="00000000" w14:paraId="0000004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Style w:val="Heading3"/>
        <w:rPr/>
      </w:pPr>
      <w:bookmarkStart w:colFirst="0" w:colLast="0" w:name="_boi28nq0ddgy" w:id="23"/>
      <w:bookmarkEnd w:id="23"/>
      <w:r w:rsidDel="00000000" w:rsidR="00000000" w:rsidRPr="00000000">
        <w:rPr>
          <w:rtl w:val="0"/>
        </w:rPr>
        <w:t xml:space="preserve">The Canon and the Apocrypha </w:t>
      </w:r>
    </w:p>
    <w:p w:rsidR="00000000" w:rsidDel="00000000" w:rsidP="00000000" w:rsidRDefault="00000000" w:rsidRPr="00000000" w14:paraId="0000004F">
      <w:pPr>
        <w:pStyle w:val="Heading3"/>
        <w:rPr/>
      </w:pPr>
      <w:bookmarkStart w:colFirst="0" w:colLast="0" w:name="_8vylrorbb0x" w:id="24"/>
      <w:bookmarkEnd w:id="24"/>
      <w:r w:rsidDel="00000000" w:rsidR="00000000" w:rsidRPr="00000000">
        <w:rPr>
          <w:rtl w:val="0"/>
        </w:rPr>
      </w:r>
    </w:p>
    <w:p w:rsidR="00000000" w:rsidDel="00000000" w:rsidP="00000000" w:rsidRDefault="00000000" w:rsidRPr="00000000" w14:paraId="00000050">
      <w:pPr>
        <w:pStyle w:val="Heading4"/>
        <w:rPr/>
      </w:pPr>
      <w:bookmarkStart w:colFirst="0" w:colLast="0" w:name="_7wc2kdjuvitr" w:id="25"/>
      <w:bookmarkEnd w:id="25"/>
      <w:r w:rsidDel="00000000" w:rsidR="00000000" w:rsidRPr="00000000">
        <w:rPr>
          <w:rtl w:val="0"/>
        </w:rPr>
        <w:t xml:space="preserve">“If anyone does not accept as sacred and canonical the aforesaid books in their entirety and with all their parts... let him be anathema.”</w:t>
      </w:r>
    </w:p>
    <w:p w:rsidR="00000000" w:rsidDel="00000000" w:rsidP="00000000" w:rsidRDefault="00000000" w:rsidRPr="00000000" w14:paraId="00000051">
      <w:pPr>
        <w:pStyle w:val="Heading3"/>
        <w:rPr/>
      </w:pPr>
      <w:bookmarkStart w:colFirst="0" w:colLast="0" w:name="_br30b496xtc3" w:id="26"/>
      <w:bookmarkEnd w:id="26"/>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pStyle w:val="Heading2"/>
        <w:rPr/>
      </w:pPr>
      <w:bookmarkStart w:colFirst="0" w:colLast="0" w:name="_nvgfecin4csz" w:id="27"/>
      <w:bookmarkEnd w:id="27"/>
      <w:r w:rsidDel="00000000" w:rsidR="00000000" w:rsidRPr="00000000">
        <w:rPr>
          <w:rtl w:val="0"/>
        </w:rPr>
        <w:t xml:space="preserve">Scripture and “Unwritten Traditions”</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Style w:val="Heading4"/>
        <w:rPr/>
      </w:pPr>
      <w:bookmarkStart w:colFirst="0" w:colLast="0" w:name="_juwuw6nv5bzc" w:id="28"/>
      <w:bookmarkEnd w:id="28"/>
      <w:r w:rsidDel="00000000" w:rsidR="00000000" w:rsidRPr="00000000">
        <w:rPr>
          <w:rtl w:val="0"/>
        </w:rPr>
        <w:t xml:space="preserve">“It also clearly perceives that these truths [concerning the Gospel] and rules are contained in the written books and in the unwritten traditions, which received by the Apostles from the mouth of Christ Himself, or from the Apostles themselves, the Holy Ghost dictating, have come down to us, transmitted as it were from hand to hand … Since God is the author of both [Testaments]; also the traditions, whether they relate to faith or to morals, as having been dictated either orally by Christ or by the Holy Ghost, and preserved in the Catholic Church in unbroken succession.” </w:t>
      </w:r>
      <w:r w:rsidDel="00000000" w:rsidR="00000000" w:rsidRPr="00000000">
        <w:rPr>
          <w:i w:val="1"/>
          <w:rtl w:val="0"/>
        </w:rPr>
        <w:t xml:space="preserve">Decree Concerning the Canonical Scriptures,</w:t>
      </w:r>
      <w:r w:rsidDel="00000000" w:rsidR="00000000" w:rsidRPr="00000000">
        <w:rPr>
          <w:rtl w:val="0"/>
        </w:rPr>
        <w:t xml:space="preserve"> April 1546.</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Style w:val="Heading2"/>
        <w:rPr/>
      </w:pPr>
      <w:bookmarkStart w:colFirst="0" w:colLast="0" w:name="_mlavo0o4qiq6" w:id="29"/>
      <w:bookmarkEnd w:id="29"/>
      <w:r w:rsidDel="00000000" w:rsidR="00000000" w:rsidRPr="00000000">
        <w:rPr>
          <w:rtl w:val="0"/>
        </w:rPr>
        <w:t xml:space="preserve">Trent and Justification </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Style w:val="Heading4"/>
        <w:rPr/>
      </w:pPr>
      <w:bookmarkStart w:colFirst="0" w:colLast="0" w:name="_usqufrhmolps" w:id="30"/>
      <w:bookmarkEnd w:id="30"/>
      <w:r w:rsidDel="00000000" w:rsidR="00000000" w:rsidRPr="00000000">
        <w:rPr>
          <w:rtl w:val="0"/>
        </w:rPr>
        <w:t xml:space="preserve"> “The </w:t>
      </w:r>
      <w:r w:rsidDel="00000000" w:rsidR="00000000" w:rsidRPr="00000000">
        <w:rPr>
          <w:u w:val="single"/>
          <w:rtl w:val="0"/>
        </w:rPr>
        <w:t xml:space="preserve">grace of justification once received is lost </w:t>
      </w:r>
      <w:r w:rsidDel="00000000" w:rsidR="00000000" w:rsidRPr="00000000">
        <w:rPr>
          <w:rtl w:val="0"/>
        </w:rPr>
        <w:t xml:space="preserve">not only by apostasy, by which faith itself is lost, but also </w:t>
      </w:r>
      <w:r w:rsidDel="00000000" w:rsidR="00000000" w:rsidRPr="00000000">
        <w:rPr>
          <w:u w:val="single"/>
          <w:rtl w:val="0"/>
        </w:rPr>
        <w:t xml:space="preserve">by any other mortal sin, though faith is not lost.</w:t>
      </w:r>
      <w:r w:rsidDel="00000000" w:rsidR="00000000" w:rsidRPr="00000000">
        <w:rPr>
          <w:rtl w:val="0"/>
        </w:rPr>
        <w:t xml:space="preserve">” Session 6, Chapter 15.</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pStyle w:val="Heading3"/>
        <w:rPr/>
      </w:pPr>
      <w:bookmarkStart w:colFirst="0" w:colLast="0" w:name="_z30t0zoykhgq" w:id="31"/>
      <w:bookmarkEnd w:id="31"/>
      <w:r w:rsidDel="00000000" w:rsidR="00000000" w:rsidRPr="00000000">
        <w:rPr>
          <w:rtl w:val="0"/>
        </w:rPr>
        <w:t xml:space="preserve">The cause of justification: faith or the sacraments? </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pStyle w:val="Heading4"/>
        <w:rPr/>
      </w:pPr>
      <w:bookmarkStart w:colFirst="0" w:colLast="0" w:name="_qy59yehclsdo" w:id="32"/>
      <w:bookmarkEnd w:id="32"/>
      <w:r w:rsidDel="00000000" w:rsidR="00000000" w:rsidRPr="00000000">
        <w:rPr>
          <w:rtl w:val="0"/>
        </w:rPr>
        <w:t xml:space="preserve">“If any one saith that a man is truly absolved from his sins and justified, because that he assuredly believed himself absolved and justified; or, that no one is truly justified but he who believes himself justified… let him be anathema.” Or Canon XIV, which says, </w:t>
      </w:r>
    </w:p>
    <w:p w:rsidR="00000000" w:rsidDel="00000000" w:rsidP="00000000" w:rsidRDefault="00000000" w:rsidRPr="00000000" w14:paraId="00000065">
      <w:pPr>
        <w:pStyle w:val="Heading4"/>
        <w:rPr/>
      </w:pPr>
      <w:bookmarkStart w:colFirst="0" w:colLast="0" w:name="_1ylj2bxie6gj" w:id="33"/>
      <w:bookmarkEnd w:id="33"/>
      <w:r w:rsidDel="00000000" w:rsidR="00000000" w:rsidRPr="00000000">
        <w:rPr>
          <w:rtl w:val="0"/>
        </w:rPr>
      </w:r>
    </w:p>
    <w:p w:rsidR="00000000" w:rsidDel="00000000" w:rsidP="00000000" w:rsidRDefault="00000000" w:rsidRPr="00000000" w14:paraId="00000066">
      <w:pPr>
        <w:pStyle w:val="Heading4"/>
        <w:rPr/>
      </w:pPr>
      <w:bookmarkStart w:colFirst="0" w:colLast="0" w:name="_kzgsuvkyr29q" w:id="34"/>
      <w:bookmarkEnd w:id="34"/>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sectPr>
      <w:headerReference r:id="rId9" w:type="default"/>
      <w:pgSz w:h="12240" w:w="15840" w:orient="landscape"/>
      <w:pgMar w:bottom="1440" w:top="1440" w:left="1440" w:right="720" w:header="0" w:footer="720"/>
      <w:pgNumType w:start="1"/>
      <w:cols w:equalWidth="0" w:num="2">
        <w:col w:space="720" w:w="6480"/>
        <w:col w:space="0" w:w="64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Church History Core Seminar | Class 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ind w:right="705"/>
    </w:pPr>
    <w:rPr>
      <w:rFonts w:ascii="Times New Roman" w:cs="Times New Roman" w:eastAsia="Times New Roman" w:hAnsi="Times New Roman"/>
      <w:sz w:val="24"/>
      <w:szCs w:val="24"/>
    </w:rPr>
  </w:style>
  <w:style w:type="paragraph" w:styleId="Heading4">
    <w:name w:val="heading 4"/>
    <w:basedOn w:val="Normal"/>
    <w:next w:val="Normal"/>
    <w:pPr>
      <w:keepNext w:val="1"/>
      <w:keepLines w:val="1"/>
      <w:spacing w:line="240" w:lineRule="auto"/>
      <w:ind w:left="720" w:firstLine="0"/>
    </w:pPr>
    <w:rPr>
      <w:rFonts w:ascii="Times New Roman" w:cs="Times New Roman" w:eastAsia="Times New Roman" w:hAnsi="Times New Roman"/>
      <w:sz w:val="20"/>
      <w:szCs w:val="20"/>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rFonts w:ascii="Times New Roman" w:cs="Times New Roman" w:eastAsia="Times New Roman" w:hAnsi="Times New Roman"/>
      <w:sz w:val="36"/>
      <w:szCs w:val="3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caleb.morell@capbap.org" TargetMode="External"/><Relationship Id="rId7" Type="http://schemas.openxmlformats.org/officeDocument/2006/relationships/hyperlink" Target="mailto:joseph.thigpen@capbap.org" TargetMode="External"/><Relationship Id="rId8" Type="http://schemas.openxmlformats.org/officeDocument/2006/relationships/hyperlink" Target="mailto:nick.gardner.2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