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4nobim4spgi8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The Southern Baptist Convention and the Conservative Resurgence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f03xpi7e59h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obn3pyroedo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Inerrancy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agjeu6j0hpr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o5lt65u9feq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gqlck7cxgp9k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Women’s ordination</w:t>
      </w:r>
    </w:p>
    <w:p w:rsidR="00000000" w:rsidDel="00000000" w:rsidP="00000000" w:rsidRDefault="00000000" w:rsidRPr="00000000" w14:paraId="00000009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6zea4ojaxyx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yfz1rjeq5a1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803j7i7vlwv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240" w:lineRule="auto"/>
        <w:ind w:left="450" w:right="360"/>
        <w:rPr>
          <w:rFonts w:ascii="Times New Roman" w:cs="Times New Roman" w:eastAsia="Times New Roman" w:hAnsi="Times New Roman"/>
        </w:rPr>
      </w:pPr>
      <w:bookmarkStart w:colFirst="0" w:colLast="0" w:name="_qn2d013s109m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conservative resurgence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Next week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“Awakenings in America”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450" w:right="360" w:hanging="45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righ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nick.gardner.29@gmail.com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joseph.thigpen@capbap.org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The Early English and American Baptists (1609-1988)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 History Core Seminar  |  Class 9 of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bookmarkStart w:colFirst="0" w:colLast="0" w:name="_qgqwjj3l4e6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rPr/>
      </w:pPr>
      <w:bookmarkStart w:colFirst="0" w:colLast="0" w:name="_k4wwrtbzxk6n" w:id="11"/>
      <w:bookmarkEnd w:id="11"/>
      <w:r w:rsidDel="00000000" w:rsidR="00000000" w:rsidRPr="00000000">
        <w:rPr>
          <w:rtl w:val="0"/>
        </w:rPr>
        <w:t xml:space="preserve">Introduction: What does it mean to be Baptist?</w:t>
      </w:r>
    </w:p>
    <w:p w:rsidR="00000000" w:rsidDel="00000000" w:rsidP="00000000" w:rsidRDefault="00000000" w:rsidRPr="00000000" w14:paraId="00000025">
      <w:pPr>
        <w:pStyle w:val="Heading4"/>
        <w:pageBreakBefore w:val="0"/>
        <w:rPr>
          <w:rFonts w:ascii="Times New Roman" w:cs="Times New Roman" w:eastAsia="Times New Roman" w:hAnsi="Times New Roman"/>
        </w:rPr>
      </w:pPr>
      <w:bookmarkStart w:colFirst="0" w:colLast="0" w:name="_p9ebnjeb22iw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3djhgzfux68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Baptists in England 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56z70ijoj900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lecj8ndul679" w:id="15"/>
      <w:bookmarkEnd w:id="15"/>
      <w:r w:rsidDel="00000000" w:rsidR="00000000" w:rsidRPr="00000000">
        <w:rPr>
          <w:rtl w:val="0"/>
        </w:rPr>
        <w:t xml:space="preserve">“Baptistic Congregationalists”</w:t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twji9e7m51tx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Perceptions and Persecution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rxc1iejn3aw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Creeds and Confessions</w:t>
      </w:r>
    </w:p>
    <w:p w:rsidR="00000000" w:rsidDel="00000000" w:rsidP="00000000" w:rsidRDefault="00000000" w:rsidRPr="00000000" w14:paraId="00000032">
      <w:pPr>
        <w:pStyle w:val="Heading3"/>
        <w:rPr>
          <w:rFonts w:ascii="Times New Roman" w:cs="Times New Roman" w:eastAsia="Times New Roman" w:hAnsi="Times New Roman"/>
        </w:rPr>
      </w:pPr>
      <w:bookmarkStart w:colFirst="0" w:colLast="0" w:name="_axcinwky8ss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1644: First London “Baptist” Confession</w:t>
      </w:r>
    </w:p>
    <w:p w:rsidR="00000000" w:rsidDel="00000000" w:rsidP="00000000" w:rsidRDefault="00000000" w:rsidRPr="00000000" w14:paraId="00000033">
      <w:pPr>
        <w:pStyle w:val="Heading3"/>
        <w:rPr>
          <w:rFonts w:ascii="Times New Roman" w:cs="Times New Roman" w:eastAsia="Times New Roman" w:hAnsi="Times New Roman"/>
        </w:rPr>
      </w:pPr>
      <w:bookmarkStart w:colFirst="0" w:colLast="0" w:name="_pv35wcg3qlf2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1689: Second London Baptist Confession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rPr/>
      </w:pPr>
      <w:bookmarkStart w:colFirst="0" w:colLast="0" w:name="_kxpt7vlzz1oq" w:id="20"/>
      <w:bookmarkEnd w:id="20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2. Baptists in America</w:t>
      </w:r>
    </w:p>
    <w:p w:rsidR="00000000" w:rsidDel="00000000" w:rsidP="00000000" w:rsidRDefault="00000000" w:rsidRPr="00000000" w14:paraId="0000003A">
      <w:pPr>
        <w:pStyle w:val="Heading2"/>
        <w:pageBreakBefore w:val="0"/>
        <w:rPr>
          <w:rFonts w:ascii="Times New Roman" w:cs="Times New Roman" w:eastAsia="Times New Roman" w:hAnsi="Times New Roman"/>
        </w:rPr>
      </w:pPr>
      <w:bookmarkStart w:colFirst="0" w:colLast="0" w:name="_co4z8h4r79jf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ageBreakBefore w:val="0"/>
        <w:rPr>
          <w:rFonts w:ascii="Times New Roman" w:cs="Times New Roman" w:eastAsia="Times New Roman" w:hAnsi="Times New Roman"/>
        </w:rPr>
      </w:pPr>
      <w:bookmarkStart w:colFirst="0" w:colLast="0" w:name="_nglao1hkh696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“Puritan Dilemma”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0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4ajxncqufztu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yxkx8vq0747j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Religious Liberty</w:t>
      </w:r>
    </w:p>
    <w:p w:rsidR="00000000" w:rsidDel="00000000" w:rsidP="00000000" w:rsidRDefault="00000000" w:rsidRPr="00000000" w14:paraId="00000042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hpan2s533mgg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d85xm7z883ci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evjwsj9pzgd" w:id="27"/>
      <w:bookmarkEnd w:id="2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Associations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jv0l82nkxjxc" w:id="28"/>
      <w:bookmarkEnd w:id="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Missions and the Triennial Convention (1814)</w:t>
      </w:r>
    </w:p>
    <w:p w:rsidR="00000000" w:rsidDel="00000000" w:rsidP="00000000" w:rsidRDefault="00000000" w:rsidRPr="00000000" w14:paraId="0000004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4gfvggegi71r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rPr/>
      </w:pPr>
      <w:bookmarkStart w:colFirst="0" w:colLast="0" w:name="_tr5n23kbky7w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rPr/>
      </w:pPr>
      <w:bookmarkStart w:colFirst="0" w:colLast="0" w:name="_xneaxnl1bgap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a3zmgk54i7wb" w:id="32"/>
      <w:bookmarkEnd w:id="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Baptists and Slavery</w:t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7wl8fsxl3lpj" w:id="33"/>
      <w:bookmarkEnd w:id="3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Formation of the Southern Baptist Convention (1845)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bp6kg5id3jt2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ixy55ku0ch7x" w:id="35"/>
      <w:bookmarkEnd w:id="3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Mission to Evangelize Slaves</w:t>
      </w:r>
    </w:p>
    <w:p w:rsidR="00000000" w:rsidDel="00000000" w:rsidP="00000000" w:rsidRDefault="00000000" w:rsidRPr="00000000" w14:paraId="00000059">
      <w:pPr>
        <w:pStyle w:val="Heading2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i2pdzze9c2x3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ind w:left="0" w:firstLine="720"/>
        <w:rPr>
          <w:rFonts w:ascii="Times New Roman" w:cs="Times New Roman" w:eastAsia="Times New Roman" w:hAnsi="Times New Roman"/>
        </w:rPr>
      </w:pPr>
      <w:bookmarkStart w:colFirst="0" w:colLast="0" w:name="_jjqmmo22vrxz" w:id="37"/>
      <w:bookmarkEnd w:id="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 Turner's revolt in Virginia in 1831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ind w:left="0" w:firstLine="720"/>
        <w:rPr>
          <w:rFonts w:ascii="Times New Roman" w:cs="Times New Roman" w:eastAsia="Times New Roman" w:hAnsi="Times New Roman"/>
        </w:rPr>
      </w:pPr>
      <w:bookmarkStart w:colFirst="0" w:colLast="0" w:name="_42yvfintwrai" w:id="38"/>
      <w:bookmarkEnd w:id="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Rev. Joseph W. Parker 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ind w:left="0" w:firstLine="720"/>
        <w:rPr>
          <w:rFonts w:ascii="Times New Roman" w:cs="Times New Roman" w:eastAsia="Times New Roman" w:hAnsi="Times New Roman"/>
        </w:rPr>
      </w:pPr>
      <w:bookmarkStart w:colFirst="0" w:colLast="0" w:name="_kebh2m92m80l" w:id="39"/>
      <w:bookmarkEnd w:id="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Joseph Spry Law and the Sunbury Association </w:t>
      </w:r>
    </w:p>
    <w:p w:rsidR="00000000" w:rsidDel="00000000" w:rsidP="00000000" w:rsidRDefault="00000000" w:rsidRPr="00000000" w14:paraId="00000061">
      <w:pPr>
        <w:pStyle w:val="Heading3"/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wqvy2hvotqm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kjzemibpc26r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i3z3ztnlpayt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qj05s0p3u9ec" w:id="43"/>
      <w:bookmarkEnd w:id="4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Black and Baptist</w:t>
      </w:r>
    </w:p>
    <w:p w:rsidR="00000000" w:rsidDel="00000000" w:rsidP="00000000" w:rsidRDefault="00000000" w:rsidRPr="00000000" w14:paraId="00000065">
      <w:pPr>
        <w:pStyle w:val="Heading3"/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mwgadgqck0bp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ind w:firstLine="720"/>
        <w:rPr>
          <w:rFonts w:ascii="Times New Roman" w:cs="Times New Roman" w:eastAsia="Times New Roman" w:hAnsi="Times New Roman"/>
        </w:rPr>
      </w:pPr>
      <w:bookmarkStart w:colFirst="0" w:colLast="0" w:name="_awqvy2hvotqm" w:id="40"/>
      <w:bookmarkEnd w:id="4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Growth of the Black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4t8hchkwngg" w:id="45"/>
      <w:bookmarkEnd w:id="45"/>
      <w:r w:rsidDel="00000000" w:rsidR="00000000" w:rsidRPr="00000000">
        <w:rPr>
          <w:rtl w:val="0"/>
        </w:rPr>
      </w:r>
    </w:p>
    <w:sectPr>
      <w:headerReference r:id="rId9" w:type="default"/>
      <w:pgSz w:h="12240" w:w="15840" w:orient="landscape"/>
      <w:pgMar w:bottom="1440" w:top="1440" w:left="1440" w:right="720" w:header="0" w:footer="720"/>
      <w:pgNumType w:start="1"/>
      <w:cols w:equalWidth="0" w:num="2">
        <w:col w:space="72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Church History Core Seminar | Class 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Times" w:cs="Times" w:eastAsia="Times" w:hAnsi="Times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Times" w:cs="Times" w:eastAsia="Times" w:hAnsi="Times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aleb.morell@capbap.org" TargetMode="External"/><Relationship Id="rId7" Type="http://schemas.openxmlformats.org/officeDocument/2006/relationships/hyperlink" Target="mailto:nick.gardner.29@gmail.com" TargetMode="External"/><Relationship Id="rId8" Type="http://schemas.openxmlformats.org/officeDocument/2006/relationships/hyperlink" Target="mailto:joseph.thigpen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