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02">
      <w:pPr>
        <w:pStyle w:val="Heading2"/>
        <w:widowControl w:val="0"/>
        <w:pBdr>
          <w:bottom w:color="000000" w:space="1" w:sz="4" w:val="single"/>
        </w:pBdr>
        <w:spacing w:line="240" w:lineRule="auto"/>
        <w:rPr/>
      </w:pPr>
      <w:bookmarkStart w:colFirst="0" w:colLast="0" w:name="_hpnjlu2zw3qg" w:id="0"/>
      <w:bookmarkEnd w:id="0"/>
      <w:r w:rsidDel="00000000" w:rsidR="00000000" w:rsidRPr="00000000">
        <w:rPr>
          <w:rtl w:val="0"/>
        </w:rPr>
        <w:t xml:space="preserve">1. Following Christ means counting the cost (Luke 14:25-33)</w:t>
      </w:r>
    </w:p>
    <w:p w:rsidR="00000000" w:rsidDel="00000000" w:rsidP="00000000" w:rsidRDefault="00000000" w:rsidRPr="00000000" w14:paraId="00000003">
      <w:pPr>
        <w:widowControl w:val="0"/>
        <w:pBdr>
          <w:bottom w:color="000000" w:space="1" w:sz="4" w:val="single"/>
        </w:pBdr>
        <w:spacing w:line="240" w:lineRule="auto"/>
        <w:rPr>
          <w:b w:val="1"/>
          <w:sz w:val="28"/>
          <w:szCs w:val="28"/>
          <w:u w:val="single"/>
        </w:rPr>
      </w:pPr>
      <w:r w:rsidDel="00000000" w:rsidR="00000000" w:rsidRPr="00000000">
        <w:rPr>
          <w:rtl w:val="0"/>
        </w:rPr>
      </w:r>
    </w:p>
    <w:p w:rsidR="00000000" w:rsidDel="00000000" w:rsidP="00000000" w:rsidRDefault="00000000" w:rsidRPr="00000000" w14:paraId="00000004">
      <w:pPr>
        <w:widowControl w:val="0"/>
        <w:pBdr>
          <w:bottom w:color="000000" w:space="1" w:sz="4" w:val="single"/>
        </w:pBdr>
        <w:spacing w:line="240" w:lineRule="auto"/>
        <w:rPr>
          <w:b w:val="1"/>
          <w:sz w:val="28"/>
          <w:szCs w:val="28"/>
          <w:u w:val="single"/>
        </w:rPr>
      </w:pPr>
      <w:r w:rsidDel="00000000" w:rsidR="00000000" w:rsidRPr="00000000">
        <w:rPr>
          <w:rtl w:val="0"/>
        </w:rPr>
      </w:r>
    </w:p>
    <w:p w:rsidR="00000000" w:rsidDel="00000000" w:rsidP="00000000" w:rsidRDefault="00000000" w:rsidRPr="00000000" w14:paraId="00000005">
      <w:pPr>
        <w:pStyle w:val="Heading2"/>
        <w:widowControl w:val="0"/>
        <w:pBdr>
          <w:bottom w:color="000000" w:space="1" w:sz="4" w:val="single"/>
        </w:pBdr>
        <w:spacing w:line="240" w:lineRule="auto"/>
        <w:rPr/>
      </w:pPr>
      <w:bookmarkStart w:colFirst="0" w:colLast="0" w:name="_4lxenrvmld6y" w:id="1"/>
      <w:bookmarkEnd w:id="1"/>
      <w:r w:rsidDel="00000000" w:rsidR="00000000" w:rsidRPr="00000000">
        <w:rPr>
          <w:rtl w:val="0"/>
        </w:rPr>
        <w:t xml:space="preserve">2. Following Christ especially means Publicly Professing Christ through Baptism (Matthew 28:19)</w:t>
      </w:r>
    </w:p>
    <w:p w:rsidR="00000000" w:rsidDel="00000000" w:rsidP="00000000" w:rsidRDefault="00000000" w:rsidRPr="00000000" w14:paraId="00000006">
      <w:pPr>
        <w:pStyle w:val="Heading2"/>
        <w:widowControl w:val="0"/>
        <w:pBdr>
          <w:bottom w:color="000000" w:space="1" w:sz="4" w:val="single"/>
        </w:pBdr>
        <w:spacing w:line="240" w:lineRule="auto"/>
        <w:rPr/>
      </w:pPr>
      <w:bookmarkStart w:colFirst="0" w:colLast="0" w:name="_dxl6r91ic90p" w:id="2"/>
      <w:bookmarkEnd w:id="2"/>
      <w:r w:rsidDel="00000000" w:rsidR="00000000" w:rsidRPr="00000000">
        <w:rPr>
          <w:rtl w:val="0"/>
        </w:rPr>
      </w:r>
    </w:p>
    <w:p w:rsidR="00000000" w:rsidDel="00000000" w:rsidP="00000000" w:rsidRDefault="00000000" w:rsidRPr="00000000" w14:paraId="00000007">
      <w:pPr>
        <w:pStyle w:val="Heading2"/>
        <w:widowControl w:val="0"/>
        <w:pBdr>
          <w:bottom w:color="000000" w:space="1" w:sz="4" w:val="single"/>
        </w:pBdr>
        <w:spacing w:line="240" w:lineRule="auto"/>
        <w:rPr/>
      </w:pPr>
      <w:bookmarkStart w:colFirst="0" w:colLast="0" w:name="_i5v2kd6whj0g" w:id="3"/>
      <w:bookmarkEnd w:id="3"/>
      <w:r w:rsidDel="00000000" w:rsidR="00000000" w:rsidRPr="00000000">
        <w:rPr>
          <w:rtl w:val="0"/>
        </w:rPr>
      </w:r>
    </w:p>
    <w:p w:rsidR="00000000" w:rsidDel="00000000" w:rsidP="00000000" w:rsidRDefault="00000000" w:rsidRPr="00000000" w14:paraId="00000008">
      <w:pPr>
        <w:pStyle w:val="Heading2"/>
        <w:widowControl w:val="0"/>
        <w:pBdr>
          <w:bottom w:color="000000" w:space="1" w:sz="4" w:val="single"/>
        </w:pBdr>
        <w:spacing w:line="240" w:lineRule="auto"/>
        <w:rPr/>
      </w:pPr>
      <w:bookmarkStart w:colFirst="0" w:colLast="0" w:name="_fwp1m449151a" w:id="4"/>
      <w:bookmarkEnd w:id="4"/>
      <w:r w:rsidDel="00000000" w:rsidR="00000000" w:rsidRPr="00000000">
        <w:rPr>
          <w:rtl w:val="0"/>
        </w:rPr>
      </w:r>
    </w:p>
    <w:p w:rsidR="00000000" w:rsidDel="00000000" w:rsidP="00000000" w:rsidRDefault="00000000" w:rsidRPr="00000000" w14:paraId="00000009">
      <w:pPr>
        <w:pStyle w:val="Heading2"/>
        <w:widowControl w:val="0"/>
        <w:pBdr>
          <w:bottom w:color="000000" w:space="1" w:sz="4" w:val="single"/>
        </w:pBdr>
        <w:spacing w:line="240" w:lineRule="auto"/>
        <w:rPr/>
      </w:pPr>
      <w:bookmarkStart w:colFirst="0" w:colLast="0" w:name="_vg9ssbcosp3k" w:id="5"/>
      <w:bookmarkEnd w:id="5"/>
      <w:r w:rsidDel="00000000" w:rsidR="00000000" w:rsidRPr="00000000">
        <w:rPr>
          <w:rtl w:val="0"/>
        </w:rPr>
        <w:t xml:space="preserve">3. Following Christ involves identifying with Christ’s People, the Church (Luke 14:26)</w:t>
      </w:r>
    </w:p>
    <w:p w:rsidR="00000000" w:rsidDel="00000000" w:rsidP="00000000" w:rsidRDefault="00000000" w:rsidRPr="00000000" w14:paraId="0000000A">
      <w:pPr>
        <w:widowControl w:val="0"/>
        <w:pBdr>
          <w:bottom w:color="000000" w:space="1" w:sz="4" w:val="single"/>
        </w:pBdr>
        <w:spacing w:line="240" w:lineRule="auto"/>
        <w:rPr>
          <w:b w:val="1"/>
          <w:sz w:val="28"/>
          <w:szCs w:val="28"/>
          <w:u w:val="single"/>
        </w:rPr>
      </w:pPr>
      <w:r w:rsidDel="00000000" w:rsidR="00000000" w:rsidRPr="00000000">
        <w:rPr>
          <w:rtl w:val="0"/>
        </w:rPr>
      </w:r>
    </w:p>
    <w:p w:rsidR="00000000" w:rsidDel="00000000" w:rsidP="00000000" w:rsidRDefault="00000000" w:rsidRPr="00000000" w14:paraId="0000000B">
      <w:pPr>
        <w:pStyle w:val="Heading1"/>
        <w:widowControl w:val="0"/>
        <w:pBdr>
          <w:bottom w:color="000000" w:space="1" w:sz="4" w:val="single"/>
        </w:pBdr>
        <w:spacing w:line="240" w:lineRule="auto"/>
        <w:rPr/>
      </w:pPr>
      <w:bookmarkStart w:colFirst="0" w:colLast="0" w:name="_3qxsqpfbame" w:id="6"/>
      <w:bookmarkEnd w:id="6"/>
      <w:r w:rsidDel="00000000" w:rsidR="00000000" w:rsidRPr="00000000">
        <w:rPr>
          <w:rtl w:val="0"/>
        </w:rPr>
      </w:r>
    </w:p>
    <w:p w:rsidR="00000000" w:rsidDel="00000000" w:rsidP="00000000" w:rsidRDefault="00000000" w:rsidRPr="00000000" w14:paraId="0000000C">
      <w:pPr>
        <w:pStyle w:val="Heading1"/>
        <w:widowControl w:val="0"/>
        <w:pBdr>
          <w:bottom w:color="000000" w:space="1" w:sz="4" w:val="single"/>
        </w:pBdr>
        <w:spacing w:line="240" w:lineRule="auto"/>
        <w:rPr/>
      </w:pPr>
      <w:bookmarkStart w:colFirst="0" w:colLast="0" w:name="_toleagfo2kfp" w:id="7"/>
      <w:bookmarkEnd w:id="7"/>
      <w:r w:rsidDel="00000000" w:rsidR="00000000" w:rsidRPr="00000000">
        <w:rPr>
          <w:rtl w:val="0"/>
        </w:rPr>
        <w:t xml:space="preserve">Conclusion</w:t>
      </w:r>
    </w:p>
    <w:p w:rsidR="00000000" w:rsidDel="00000000" w:rsidP="00000000" w:rsidRDefault="00000000" w:rsidRPr="00000000" w14:paraId="0000000D">
      <w:pPr>
        <w:widowControl w:val="0"/>
        <w:pBdr>
          <w:bottom w:color="000000" w:space="1" w:sz="4" w:val="single"/>
        </w:pBdr>
        <w:spacing w:line="240" w:lineRule="auto"/>
        <w:rPr>
          <w:b w:val="1"/>
          <w:sz w:val="28"/>
          <w:szCs w:val="28"/>
          <w:u w:val="single"/>
        </w:rPr>
      </w:pPr>
      <w:r w:rsidDel="00000000" w:rsidR="00000000" w:rsidRPr="00000000">
        <w:rPr>
          <w:rtl w:val="0"/>
        </w:rPr>
      </w:r>
    </w:p>
    <w:p w:rsidR="00000000" w:rsidDel="00000000" w:rsidP="00000000" w:rsidRDefault="00000000" w:rsidRPr="00000000" w14:paraId="0000000E">
      <w:pPr>
        <w:widowControl w:val="0"/>
        <w:pBdr>
          <w:bottom w:color="000000" w:space="1" w:sz="4" w:val="single"/>
        </w:pBdr>
        <w:spacing w:line="240" w:lineRule="auto"/>
        <w:rPr>
          <w:b w:val="1"/>
          <w:sz w:val="28"/>
          <w:szCs w:val="28"/>
          <w:u w:val="single"/>
        </w:rPr>
      </w:pPr>
      <w:r w:rsidDel="00000000" w:rsidR="00000000" w:rsidRPr="00000000">
        <w:rPr>
          <w:rtl w:val="0"/>
        </w:rPr>
      </w:r>
    </w:p>
    <w:p w:rsidR="00000000" w:rsidDel="00000000" w:rsidP="00000000" w:rsidRDefault="00000000" w:rsidRPr="00000000" w14:paraId="0000000F">
      <w:pPr>
        <w:widowControl w:val="0"/>
        <w:pBdr>
          <w:bottom w:color="000000" w:space="1" w:sz="4" w:val="single"/>
        </w:pBdr>
        <w:spacing w:line="240" w:lineRule="auto"/>
        <w:rPr>
          <w:sz w:val="24"/>
          <w:szCs w:val="24"/>
        </w:rPr>
      </w:pPr>
      <w:r w:rsidDel="00000000" w:rsidR="00000000" w:rsidRPr="00000000">
        <w:rPr>
          <w:rtl w:val="0"/>
        </w:rPr>
      </w:r>
    </w:p>
    <w:p w:rsidR="00000000" w:rsidDel="00000000" w:rsidP="00000000" w:rsidRDefault="00000000" w:rsidRPr="00000000" w14:paraId="00000010">
      <w:pPr>
        <w:widowControl w:val="0"/>
        <w:pBdr>
          <w:bottom w:color="000000" w:space="1" w:sz="4" w:val="single"/>
        </w:pBdr>
        <w:spacing w:line="240" w:lineRule="auto"/>
        <w:rPr>
          <w:sz w:val="24"/>
          <w:szCs w:val="24"/>
        </w:rPr>
      </w:pPr>
      <w:r w:rsidDel="00000000" w:rsidR="00000000" w:rsidRPr="00000000">
        <w:rPr>
          <w:rtl w:val="0"/>
        </w:rPr>
      </w:r>
    </w:p>
    <w:p w:rsidR="00000000" w:rsidDel="00000000" w:rsidP="00000000" w:rsidRDefault="00000000" w:rsidRPr="00000000" w14:paraId="00000011">
      <w:pPr>
        <w:widowControl w:val="0"/>
        <w:pBdr>
          <w:bottom w:color="000000" w:space="1" w:sz="4" w:val="single"/>
        </w:pBdr>
        <w:spacing w:line="240" w:lineRule="auto"/>
        <w:rPr>
          <w:sz w:val="24"/>
          <w:szCs w:val="24"/>
        </w:rPr>
      </w:pPr>
      <w:r w:rsidDel="00000000" w:rsidR="00000000" w:rsidRPr="00000000">
        <w:rPr>
          <w:rtl w:val="0"/>
        </w:rPr>
      </w:r>
    </w:p>
    <w:p w:rsidR="00000000" w:rsidDel="00000000" w:rsidP="00000000" w:rsidRDefault="00000000" w:rsidRPr="00000000" w14:paraId="00000012">
      <w:pPr>
        <w:widowControl w:val="0"/>
        <w:pBdr>
          <w:bottom w:color="000000" w:space="1" w:sz="4" w:val="single"/>
        </w:pBdr>
        <w:spacing w:line="240" w:lineRule="auto"/>
        <w:rPr>
          <w:sz w:val="24"/>
          <w:szCs w:val="24"/>
        </w:rPr>
      </w:pPr>
      <w:r w:rsidDel="00000000" w:rsidR="00000000" w:rsidRPr="00000000">
        <w:rPr>
          <w:rtl w:val="0"/>
        </w:rPr>
      </w:r>
    </w:p>
    <w:p w:rsidR="00000000" w:rsidDel="00000000" w:rsidP="00000000" w:rsidRDefault="00000000" w:rsidRPr="00000000" w14:paraId="00000013">
      <w:pPr>
        <w:widowControl w:val="0"/>
        <w:pBdr>
          <w:bottom w:color="000000" w:space="1" w:sz="4" w:val="single"/>
        </w:pBdr>
        <w:spacing w:line="240" w:lineRule="auto"/>
        <w:rPr>
          <w:sz w:val="24"/>
          <w:szCs w:val="24"/>
        </w:rPr>
      </w:pPr>
      <w:r w:rsidDel="00000000" w:rsidR="00000000" w:rsidRPr="00000000">
        <w:rPr>
          <w:rtl w:val="0"/>
        </w:rPr>
      </w:r>
    </w:p>
    <w:p w:rsidR="00000000" w:rsidDel="00000000" w:rsidP="00000000" w:rsidRDefault="00000000" w:rsidRPr="00000000" w14:paraId="00000014">
      <w:pPr>
        <w:widowControl w:val="0"/>
        <w:pBdr>
          <w:bottom w:color="000000" w:space="1" w:sz="4" w:val="single"/>
        </w:pBdr>
        <w:spacing w:line="240" w:lineRule="auto"/>
        <w:rPr>
          <w:sz w:val="24"/>
          <w:szCs w:val="24"/>
        </w:rPr>
      </w:pPr>
      <w:r w:rsidDel="00000000" w:rsidR="00000000" w:rsidRPr="00000000">
        <w:rPr>
          <w:rtl w:val="0"/>
        </w:rPr>
      </w:r>
    </w:p>
    <w:p w:rsidR="00000000" w:rsidDel="00000000" w:rsidP="00000000" w:rsidRDefault="00000000" w:rsidRPr="00000000" w14:paraId="00000015">
      <w:pPr>
        <w:widowControl w:val="0"/>
        <w:pBdr>
          <w:bottom w:color="000000" w:space="1" w:sz="4" w:val="single"/>
        </w:pBdr>
        <w:spacing w:line="240" w:lineRule="auto"/>
        <w:rPr>
          <w:sz w:val="24"/>
          <w:szCs w:val="24"/>
        </w:rPr>
      </w:pPr>
      <w:r w:rsidDel="00000000" w:rsidR="00000000" w:rsidRPr="00000000">
        <w:rPr>
          <w:rtl w:val="0"/>
        </w:rPr>
      </w:r>
    </w:p>
    <w:p w:rsidR="00000000" w:rsidDel="00000000" w:rsidP="00000000" w:rsidRDefault="00000000" w:rsidRPr="00000000" w14:paraId="00000016">
      <w:pPr>
        <w:widowControl w:val="0"/>
        <w:pBdr>
          <w:bottom w:color="000000" w:space="1" w:sz="4" w:val="single"/>
        </w:pBdr>
        <w:spacing w:line="240" w:lineRule="auto"/>
        <w:rPr>
          <w:sz w:val="24"/>
          <w:szCs w:val="24"/>
        </w:rPr>
      </w:pPr>
      <w:r w:rsidDel="00000000" w:rsidR="00000000" w:rsidRPr="00000000">
        <w:rPr>
          <w:rtl w:val="0"/>
        </w:rPr>
      </w:r>
    </w:p>
    <w:p w:rsidR="00000000" w:rsidDel="00000000" w:rsidP="00000000" w:rsidRDefault="00000000" w:rsidRPr="00000000" w14:paraId="00000017">
      <w:pPr>
        <w:widowControl w:val="0"/>
        <w:pBdr>
          <w:bottom w:color="000000" w:space="1" w:sz="4" w:val="single"/>
        </w:pBdr>
        <w:spacing w:line="240" w:lineRule="auto"/>
        <w:rPr>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Next week: Week 9: Short-term missions: Their nature and usefulness</w:t>
      </w:r>
    </w:p>
    <w:p w:rsidR="00000000" w:rsidDel="00000000" w:rsidP="00000000" w:rsidRDefault="00000000" w:rsidRPr="00000000" w14:paraId="0000001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Questions or comments? Email Riley Barnes (</w:t>
      </w:r>
      <w:hyperlink r:id="rId6">
        <w:r w:rsidDel="00000000" w:rsidR="00000000" w:rsidRPr="00000000">
          <w:rPr>
            <w:rFonts w:ascii="Times New Roman" w:cs="Times New Roman" w:eastAsia="Times New Roman" w:hAnsi="Times New Roman"/>
            <w:i w:val="1"/>
            <w:color w:val="0563c1"/>
            <w:u w:val="single"/>
            <w:rtl w:val="0"/>
          </w:rPr>
          <w:t xml:space="preserve">riley.barnes@capbap.org</w:t>
        </w:r>
      </w:hyperlink>
      <w:r w:rsidDel="00000000" w:rsidR="00000000" w:rsidRPr="00000000">
        <w:rPr>
          <w:rFonts w:ascii="Times New Roman" w:cs="Times New Roman" w:eastAsia="Times New Roman" w:hAnsi="Times New Roman"/>
          <w:i w:val="1"/>
          <w:rtl w:val="0"/>
        </w:rPr>
        <w:t xml:space="preserve">) or Caleb Morell (</w:t>
      </w:r>
      <w:hyperlink r:id="rId7">
        <w:r w:rsidDel="00000000" w:rsidR="00000000" w:rsidRPr="00000000">
          <w:rPr>
            <w:rFonts w:ascii="Times New Roman" w:cs="Times New Roman" w:eastAsia="Times New Roman" w:hAnsi="Times New Roman"/>
            <w:i w:val="1"/>
            <w:color w:val="0563c1"/>
            <w:u w:val="single"/>
            <w:rtl w:val="0"/>
          </w:rPr>
          <w:t xml:space="preserve">caleb.morell@capbap.org</w:t>
        </w:r>
      </w:hyperlink>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1B">
      <w:pPr>
        <w:spacing w:line="240" w:lineRule="auto"/>
        <w:rPr>
          <w:b w:val="1"/>
          <w:sz w:val="28"/>
          <w:szCs w:val="28"/>
        </w:rPr>
      </w:pPr>
      <w:r w:rsidDel="00000000" w:rsidR="00000000" w:rsidRPr="00000000">
        <w:rPr>
          <w:rtl w:val="0"/>
        </w:rPr>
      </w:r>
    </w:p>
    <w:p w:rsidR="00000000" w:rsidDel="00000000" w:rsidP="00000000" w:rsidRDefault="00000000" w:rsidRPr="00000000" w14:paraId="0000001C">
      <w:pPr>
        <w:spacing w:line="240" w:lineRule="auto"/>
        <w:rPr>
          <w:sz w:val="28"/>
          <w:szCs w:val="28"/>
        </w:rPr>
      </w:pPr>
      <w:r w:rsidDel="00000000" w:rsidR="00000000" w:rsidRPr="00000000">
        <w:rPr>
          <w:b w:val="1"/>
          <w:sz w:val="28"/>
          <w:szCs w:val="28"/>
          <w:rtl w:val="0"/>
        </w:rPr>
        <w:t xml:space="preserve">Core Seminars – Christian Living</w:t>
      </w:r>
      <w:r w:rsidDel="00000000" w:rsidR="00000000" w:rsidRPr="00000000">
        <w:rPr>
          <w:rtl w:val="0"/>
        </w:rPr>
      </w:r>
    </w:p>
    <w:p w:rsidR="00000000" w:rsidDel="00000000" w:rsidP="00000000" w:rsidRDefault="00000000" w:rsidRPr="00000000" w14:paraId="0000001D">
      <w:pPr>
        <w:tabs>
          <w:tab w:val="right" w:pos="6120"/>
        </w:tabs>
        <w:spacing w:line="240" w:lineRule="auto"/>
        <w:rPr>
          <w:b w:val="1"/>
          <w:sz w:val="28"/>
          <w:szCs w:val="28"/>
        </w:rPr>
      </w:pPr>
      <w:r w:rsidDel="00000000" w:rsidR="00000000" w:rsidRPr="00000000">
        <w:rPr>
          <w:b w:val="1"/>
          <w:sz w:val="28"/>
          <w:szCs w:val="28"/>
          <w:rtl w:val="0"/>
        </w:rPr>
        <w:t xml:space="preserve">Challenges in Modern Missions: Contextualization and Gospel Proclamation</w:t>
      </w:r>
    </w:p>
    <w:p w:rsidR="00000000" w:rsidDel="00000000" w:rsidP="00000000" w:rsidRDefault="00000000" w:rsidRPr="00000000" w14:paraId="0000001E">
      <w:pPr>
        <w:pageBreakBefore w:val="0"/>
        <w:rPr>
          <w:b w:val="1"/>
          <w:i w:val="1"/>
          <w:sz w:val="24"/>
          <w:szCs w:val="24"/>
        </w:rPr>
      </w:pPr>
      <w:r w:rsidDel="00000000" w:rsidR="00000000" w:rsidRPr="00000000">
        <w:rPr>
          <w:b w:val="1"/>
          <w:i w:val="1"/>
          <w:sz w:val="24"/>
          <w:szCs w:val="24"/>
          <w:rtl w:val="0"/>
        </w:rPr>
        <w:t xml:space="preserve">Week 8 – February 27, 2022</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pStyle w:val="Heading1"/>
        <w:rPr/>
      </w:pPr>
      <w:bookmarkStart w:colFirst="0" w:colLast="0" w:name="_j9ji5z75ef2h" w:id="8"/>
      <w:bookmarkEnd w:id="8"/>
      <w:r w:rsidDel="00000000" w:rsidR="00000000" w:rsidRPr="00000000">
        <w:rPr>
          <w:rtl w:val="0"/>
        </w:rPr>
        <w:t xml:space="preserve">Introduction: Challenges of Communicating the Gospel Cross-Culturally</w:t>
      </w:r>
    </w:p>
    <w:p w:rsidR="00000000" w:rsidDel="00000000" w:rsidP="00000000" w:rsidRDefault="00000000" w:rsidRPr="00000000" w14:paraId="0000002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Style w:val="Heading2"/>
        <w:rPr/>
      </w:pPr>
      <w:bookmarkStart w:colFirst="0" w:colLast="0" w:name="_kft8hiaoiv5y" w:id="9"/>
      <w:bookmarkEnd w:id="9"/>
      <w:r w:rsidDel="00000000" w:rsidR="00000000" w:rsidRPr="00000000">
        <w:rPr>
          <w:rtl w:val="0"/>
        </w:rPr>
        <w:t xml:space="preserve">What is Contextualization?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“Taking something from one place and putting it in another while retaining faithfulness and sensitivity to the original intent of the thing. For our purposes, contextualization is communicating the gospel, planting churches, discipling others, training leaders, and establishing Christianity in other areas of the world while being both faithful to God’s Word and sensitive to the culture.” (Zane Pratt, M. David Sills, and Jeff K. Walters, </w:t>
      </w:r>
      <w:r w:rsidDel="00000000" w:rsidR="00000000" w:rsidRPr="00000000">
        <w:rPr>
          <w:i w:val="1"/>
          <w:rtl w:val="0"/>
        </w:rPr>
        <w:t xml:space="preserve">Introduction to Global Missions</w:t>
      </w:r>
      <w:r w:rsidDel="00000000" w:rsidR="00000000" w:rsidRPr="00000000">
        <w:rPr>
          <w:rtl w:val="0"/>
        </w:rPr>
        <w:t xml:space="preserve">, 149).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left"/>
        <w:rPr/>
      </w:pPr>
      <w:r w:rsidDel="00000000" w:rsidR="00000000" w:rsidRPr="00000000">
        <w:rPr>
          <w:rtl w:val="0"/>
        </w:rPr>
      </w:r>
    </w:p>
    <w:p w:rsidR="00000000" w:rsidDel="00000000" w:rsidP="00000000" w:rsidRDefault="00000000" w:rsidRPr="00000000" w14:paraId="00000028">
      <w:pPr>
        <w:pStyle w:val="Heading2"/>
        <w:rPr>
          <w:i w:val="0"/>
        </w:rPr>
      </w:pPr>
      <w:bookmarkStart w:colFirst="0" w:colLast="0" w:name="_7ty42bay73yd" w:id="10"/>
      <w:bookmarkEnd w:id="10"/>
      <w:r w:rsidDel="00000000" w:rsidR="00000000" w:rsidRPr="00000000">
        <w:rPr>
          <w:rtl w:val="0"/>
        </w:rPr>
        <w:t xml:space="preserve">Good and bad contextualization</w:t>
      </w:r>
      <w:r w:rsidDel="00000000" w:rsidR="00000000" w:rsidRPr="00000000">
        <w:rPr>
          <w:rtl w:val="0"/>
        </w:rPr>
      </w:r>
    </w:p>
    <w:p w:rsidR="00000000" w:rsidDel="00000000" w:rsidP="00000000" w:rsidRDefault="00000000" w:rsidRPr="00000000" w14:paraId="00000029">
      <w:pPr>
        <w:ind w:left="720" w:firstLine="0"/>
        <w:rPr>
          <w:i w:val="1"/>
          <w:sz w:val="24"/>
          <w:szCs w:val="24"/>
        </w:rPr>
      </w:pP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t xml:space="preserve">‘Bad contextualization’ either treats non-essentials as essential or essentials as non-essential. </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rtl w:val="0"/>
        </w:rPr>
        <w:t xml:space="preserve">Good contextualization treats non-essentials as non-essential and essentials as essential.</w:t>
      </w:r>
    </w:p>
    <w:p w:rsidR="00000000" w:rsidDel="00000000" w:rsidP="00000000" w:rsidRDefault="00000000" w:rsidRPr="00000000" w14:paraId="0000002D">
      <w:pPr>
        <w:pStyle w:val="Heading1"/>
        <w:rPr/>
      </w:pPr>
      <w:bookmarkStart w:colFirst="0" w:colLast="0" w:name="_yvb4aeubmi7p" w:id="11"/>
      <w:bookmarkEnd w:id="11"/>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rPr/>
      </w:pPr>
      <w:bookmarkStart w:colFirst="0" w:colLast="0" w:name="_p3u81mtmm5n" w:id="12"/>
      <w:bookmarkEnd w:id="12"/>
      <w:r w:rsidDel="00000000" w:rsidR="00000000" w:rsidRPr="00000000">
        <w:rPr>
          <w:rtl w:val="0"/>
        </w:rPr>
        <w:t xml:space="preserve">I. Bad Contextualization</w:t>
      </w:r>
    </w:p>
    <w:p w:rsidR="00000000" w:rsidDel="00000000" w:rsidP="00000000" w:rsidRDefault="00000000" w:rsidRPr="00000000" w14:paraId="0000002F">
      <w:pPr>
        <w:pageBreakBefore w:val="0"/>
        <w:rPr>
          <w:b w:val="1"/>
          <w:sz w:val="24"/>
          <w:szCs w:val="24"/>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pStyle w:val="Heading2"/>
        <w:rPr/>
      </w:pPr>
      <w:bookmarkStart w:colFirst="0" w:colLast="0" w:name="_ru9voubjofw8" w:id="13"/>
      <w:bookmarkEnd w:id="13"/>
      <w:r w:rsidDel="00000000" w:rsidR="00000000" w:rsidRPr="00000000">
        <w:rPr>
          <w:rtl w:val="0"/>
        </w:rPr>
        <w:t xml:space="preserve">Under-Contextualization: Treating non-essentials as essentials.</w:t>
      </w:r>
    </w:p>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2"/>
        <w:ind w:right="270"/>
        <w:rPr>
          <w:i w:val="0"/>
        </w:rPr>
      </w:pPr>
      <w:bookmarkStart w:colFirst="0" w:colLast="0" w:name="_rbctpwyyjju4" w:id="14"/>
      <w:bookmarkEnd w:id="14"/>
      <w:r w:rsidDel="00000000" w:rsidR="00000000" w:rsidRPr="00000000">
        <w:rPr>
          <w:rtl w:val="0"/>
        </w:rPr>
        <w:t xml:space="preserve">Over-Contextualization: Treating essentials as non-essential</w:t>
      </w:r>
      <w:r w:rsidDel="00000000" w:rsidR="00000000" w:rsidRPr="00000000">
        <w:rPr>
          <w:rtl w:val="0"/>
        </w:rPr>
      </w:r>
    </w:p>
    <w:p w:rsidR="00000000" w:rsidDel="00000000" w:rsidP="00000000" w:rsidRDefault="00000000" w:rsidRPr="00000000" w14:paraId="00000037">
      <w:pPr>
        <w:ind w:right="270"/>
        <w:rPr/>
      </w:pPr>
      <w:r w:rsidDel="00000000" w:rsidR="00000000" w:rsidRPr="00000000">
        <w:rPr>
          <w:rtl w:val="0"/>
        </w:rPr>
      </w:r>
    </w:p>
    <w:p w:rsidR="00000000" w:rsidDel="00000000" w:rsidP="00000000" w:rsidRDefault="00000000" w:rsidRPr="00000000" w14:paraId="00000038">
      <w:pPr>
        <w:ind w:right="270"/>
        <w:rPr/>
      </w:pPr>
      <w:r w:rsidDel="00000000" w:rsidR="00000000" w:rsidRPr="00000000">
        <w:rPr>
          <w:rtl w:val="0"/>
        </w:rPr>
      </w:r>
    </w:p>
    <w:p w:rsidR="00000000" w:rsidDel="00000000" w:rsidP="00000000" w:rsidRDefault="00000000" w:rsidRPr="00000000" w14:paraId="00000039">
      <w:pPr>
        <w:ind w:left="720" w:right="270" w:firstLine="0"/>
        <w:rPr/>
      </w:pPr>
      <w:r w:rsidDel="00000000" w:rsidR="00000000" w:rsidRPr="00000000">
        <w:rPr>
          <w:rtl w:val="0"/>
        </w:rPr>
      </w:r>
    </w:p>
    <w:p w:rsidR="00000000" w:rsidDel="00000000" w:rsidP="00000000" w:rsidRDefault="00000000" w:rsidRPr="00000000" w14:paraId="0000003A">
      <w:pPr>
        <w:ind w:right="270"/>
        <w:rPr/>
      </w:pPr>
      <w:r w:rsidDel="00000000" w:rsidR="00000000" w:rsidRPr="00000000">
        <w:rPr>
          <w:rFonts w:ascii="Cardo" w:cs="Cardo" w:eastAsia="Cardo" w:hAnsi="Cardo"/>
          <w:rtl w:val="0"/>
        </w:rPr>
        <w:t xml:space="preserve">→ Which extreme do you think you are more likely to fall into personally? </w:t>
      </w:r>
      <w:r w:rsidDel="00000000" w:rsidR="00000000" w:rsidRPr="00000000">
        <w:rPr>
          <w:rtl w:val="0"/>
        </w:rPr>
        <w:t xml:space="preserve"> </w:t>
      </w:r>
    </w:p>
    <w:p w:rsidR="00000000" w:rsidDel="00000000" w:rsidP="00000000" w:rsidRDefault="00000000" w:rsidRPr="00000000" w14:paraId="0000003B">
      <w:pPr>
        <w:ind w:right="270"/>
        <w:rPr/>
      </w:pPr>
      <w:r w:rsidDel="00000000" w:rsidR="00000000" w:rsidRPr="00000000">
        <w:rPr>
          <w:rtl w:val="0"/>
        </w:rPr>
      </w:r>
    </w:p>
    <w:p w:rsidR="00000000" w:rsidDel="00000000" w:rsidP="00000000" w:rsidRDefault="00000000" w:rsidRPr="00000000" w14:paraId="0000003C">
      <w:pPr>
        <w:pStyle w:val="Heading1"/>
        <w:ind w:right="270"/>
        <w:rPr/>
      </w:pPr>
      <w:bookmarkStart w:colFirst="0" w:colLast="0" w:name="_p8ju2ru6kvr2" w:id="15"/>
      <w:bookmarkEnd w:id="15"/>
      <w:r w:rsidDel="00000000" w:rsidR="00000000" w:rsidRPr="00000000">
        <w:rPr>
          <w:rtl w:val="0"/>
        </w:rPr>
      </w:r>
    </w:p>
    <w:p w:rsidR="00000000" w:rsidDel="00000000" w:rsidP="00000000" w:rsidRDefault="00000000" w:rsidRPr="00000000" w14:paraId="0000003D">
      <w:pPr>
        <w:pStyle w:val="Heading1"/>
        <w:ind w:right="270"/>
        <w:rPr/>
      </w:pPr>
      <w:bookmarkStart w:colFirst="0" w:colLast="0" w:name="_szgdklued20u" w:id="16"/>
      <w:bookmarkEnd w:id="16"/>
      <w:r w:rsidDel="00000000" w:rsidR="00000000" w:rsidRPr="00000000">
        <w:rPr>
          <w:rtl w:val="0"/>
        </w:rPr>
        <w:t xml:space="preserve">II. Good Contextualization: Paul’s Posture of Personal Sacrifice</w:t>
      </w:r>
    </w:p>
    <w:p w:rsidR="00000000" w:rsidDel="00000000" w:rsidP="00000000" w:rsidRDefault="00000000" w:rsidRPr="00000000" w14:paraId="0000003E">
      <w:pPr>
        <w:pageBreakBefore w:val="0"/>
        <w:ind w:right="27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ageBreakBefore w:val="0"/>
        <w:ind w:right="27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0">
      <w:pPr>
        <w:pStyle w:val="Heading2"/>
        <w:ind w:right="270"/>
        <w:rPr/>
      </w:pPr>
      <w:bookmarkStart w:colFirst="0" w:colLast="0" w:name="_8dc6p4xxxitz" w:id="17"/>
      <w:bookmarkEnd w:id="17"/>
      <w:r w:rsidDel="00000000" w:rsidR="00000000" w:rsidRPr="00000000">
        <w:rPr>
          <w:rtl w:val="0"/>
        </w:rPr>
        <w:t xml:space="preserve">1. Paul models biblical fidelity for the sake of gospel preservation (</w:t>
      </w:r>
      <w:r w:rsidDel="00000000" w:rsidR="00000000" w:rsidRPr="00000000">
        <w:rPr>
          <w:rtl w:val="0"/>
        </w:rPr>
        <w:t xml:space="preserve">Gal. 1:6-10)</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pStyle w:val="Heading2"/>
        <w:rPr/>
      </w:pPr>
      <w:bookmarkStart w:colFirst="0" w:colLast="0" w:name="_ldixxkygbe3" w:id="18"/>
      <w:bookmarkEnd w:id="18"/>
      <w:r w:rsidDel="00000000" w:rsidR="00000000" w:rsidRPr="00000000">
        <w:rPr>
          <w:rtl w:val="0"/>
        </w:rPr>
        <w:t xml:space="preserve">2. Paul models cultural flexibility for the sake of gospel proclamation (1 Corinthians 9:19-23)</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t xml:space="preserve">“Christian liberty is not about you and your freedom to do what you want to do. It’s all about the freedom to discipline yourself to be flexible for the sake of the gospel and for the sake of weaker believers.” (Naselli &amp; Crowley, </w:t>
      </w:r>
      <w:r w:rsidDel="00000000" w:rsidR="00000000" w:rsidRPr="00000000">
        <w:rPr>
          <w:i w:val="1"/>
          <w:rtl w:val="0"/>
        </w:rPr>
        <w:t xml:space="preserve">Conscience</w:t>
      </w:r>
      <w:r w:rsidDel="00000000" w:rsidR="00000000" w:rsidRPr="00000000">
        <w:rPr>
          <w:rtl w:val="0"/>
        </w:rPr>
        <w:t xml:space="preserve">, p. 132)</w:t>
      </w:r>
    </w:p>
    <w:p w:rsidR="00000000" w:rsidDel="00000000" w:rsidP="00000000" w:rsidRDefault="00000000" w:rsidRPr="00000000" w14:paraId="00000048">
      <w:pPr>
        <w:pStyle w:val="Heading2"/>
        <w:rPr/>
      </w:pPr>
      <w:bookmarkStart w:colFirst="0" w:colLast="0" w:name="_aib37inucti2" w:id="19"/>
      <w:bookmarkEnd w:id="19"/>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2"/>
        <w:rPr/>
      </w:pPr>
      <w:bookmarkStart w:colFirst="0" w:colLast="0" w:name="_2eafd8fmtxe8" w:id="20"/>
      <w:bookmarkEnd w:id="20"/>
      <w:r w:rsidDel="00000000" w:rsidR="00000000" w:rsidRPr="00000000">
        <w:rPr>
          <w:rtl w:val="0"/>
        </w:rPr>
        <w:t xml:space="preserve">3. The local church is God’s laboratory for recalibrating your conscience (Romans 15:7-9)</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t xml:space="preserve">“God intends the little clashes of culture in your church to get you ready for the really difficult clashes of culture in missions and evangelism.” (Naselli &amp; Crowley, </w:t>
      </w:r>
      <w:r w:rsidDel="00000000" w:rsidR="00000000" w:rsidRPr="00000000">
        <w:rPr>
          <w:i w:val="1"/>
          <w:rtl w:val="0"/>
        </w:rPr>
        <w:t xml:space="preserve">Conscience</w:t>
      </w:r>
      <w:r w:rsidDel="00000000" w:rsidR="00000000" w:rsidRPr="00000000">
        <w:rPr>
          <w:rtl w:val="0"/>
        </w:rPr>
        <w:t xml:space="preserve">, 136)</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ind w:right="270"/>
        <w:rPr/>
      </w:pPr>
      <w:bookmarkStart w:colFirst="0" w:colLast="0" w:name="_ukd68umc4f5g" w:id="21"/>
      <w:bookmarkEnd w:id="21"/>
      <w:r w:rsidDel="00000000" w:rsidR="00000000" w:rsidRPr="00000000">
        <w:rPr>
          <w:rtl w:val="0"/>
        </w:rPr>
      </w:r>
    </w:p>
    <w:p w:rsidR="00000000" w:rsidDel="00000000" w:rsidP="00000000" w:rsidRDefault="00000000" w:rsidRPr="00000000" w14:paraId="00000050">
      <w:pPr>
        <w:pStyle w:val="Heading1"/>
        <w:ind w:right="270"/>
        <w:rPr/>
      </w:pPr>
      <w:bookmarkStart w:colFirst="0" w:colLast="0" w:name="_695ohqrte9eq" w:id="22"/>
      <w:bookmarkEnd w:id="22"/>
      <w:r w:rsidDel="00000000" w:rsidR="00000000" w:rsidRPr="00000000">
        <w:rPr>
          <w:rtl w:val="0"/>
        </w:rPr>
        <w:t xml:space="preserve">III</w:t>
      </w:r>
      <w:r w:rsidDel="00000000" w:rsidR="00000000" w:rsidRPr="00000000">
        <w:rPr>
          <w:rtl w:val="0"/>
        </w:rPr>
        <w:t xml:space="preserve">. The C-Spectrum and “Insider Movements”</w:t>
      </w:r>
    </w:p>
    <w:p w:rsidR="00000000" w:rsidDel="00000000" w:rsidP="00000000" w:rsidRDefault="00000000" w:rsidRPr="00000000" w14:paraId="00000051">
      <w:pPr>
        <w:pStyle w:val="Heading2"/>
        <w:ind w:right="270"/>
        <w:rPr>
          <w:i w:val="0"/>
        </w:rPr>
      </w:pPr>
      <w:bookmarkStart w:colFirst="0" w:colLast="0" w:name="_pvt5bn18emwm" w:id="23"/>
      <w:bookmarkEnd w:id="23"/>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sz w:val="24"/>
          <w:szCs w:val="24"/>
        </w:rPr>
        <w:drawing>
          <wp:inline distB="114300" distT="114300" distL="114300" distR="114300">
            <wp:extent cx="3748088" cy="1986833"/>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748088" cy="1986833"/>
                    </a:xfrm>
                    <a:prstGeom prst="rect"/>
                    <a:ln/>
                  </pic:spPr>
                </pic:pic>
              </a:graphicData>
            </a:graphic>
          </wp:inline>
        </w:drawing>
      </w:r>
      <w:r w:rsidDel="00000000" w:rsidR="00000000" w:rsidRPr="00000000">
        <w:rPr>
          <w:rtl w:val="0"/>
        </w:rPr>
      </w:r>
    </w:p>
    <w:sectPr>
      <w:headerReference r:id="rId9" w:type="default"/>
      <w:pgSz w:h="12240" w:w="15840" w:orient="landscape"/>
      <w:pgMar w:bottom="1440" w:top="1440" w:left="1440" w:right="720" w:header="0" w:footer="720"/>
      <w:pgNumType w:start="1"/>
      <w:cols w:equalWidth="0" w:num="2">
        <w:col w:space="720" w:w="6480"/>
        <w:col w:space="0" w:w="64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pPr>
    <w:rPr>
      <w:rFonts w:ascii="Times New Roman" w:cs="Times New Roman" w:eastAsia="Times New Roman" w:hAnsi="Times New Roman"/>
      <w:i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riley.barnes@capbap.org" TargetMode="External"/><Relationship Id="rId7" Type="http://schemas.openxmlformats.org/officeDocument/2006/relationships/hyperlink" Target="mailto:caleb.morell@capbap.org"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