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Course outline</w:t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Foundations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1: Man and Woman in Creation: Equality, Fertility, and Complementarity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2: Man and Woman in Creation: A Biblical Theology of Beautiful Difference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3: Man and Woman in a Fallen World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4: Man and Woman in Christ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5: Man and Woman in the Modern World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Applications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6: The Meaning of Sex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7: Singleness and Marriage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8: Parenting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9: The Church (Part 1)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10: The Church (Part 2)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11: Work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Apologetics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12: Answering Common Questions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13: The Goodness and Beauty of God’s Design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Questions?  E-mail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bobby.jamieson@capbap.org</w:t>
        </w:r>
      </w:hyperlink>
      <w:r w:rsidDel="00000000" w:rsidR="00000000" w:rsidRPr="00000000">
        <w:rPr>
          <w:sz w:val="24"/>
          <w:szCs w:val="24"/>
          <w:rtl w:val="0"/>
        </w:rPr>
        <w:t xml:space="preserve"> or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paul.billings@campusoutreach.org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Suggested reading / Listening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Claire Smith, </w:t>
      </w:r>
      <w:r w:rsidDel="00000000" w:rsidR="00000000" w:rsidRPr="00000000">
        <w:rPr>
          <w:i w:val="1"/>
          <w:sz w:val="24"/>
          <w:szCs w:val="24"/>
          <w:rtl w:val="0"/>
        </w:rPr>
        <w:t xml:space="preserve">God’s Good Design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Jonathan Leeman,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“Essential and Indispensable: Women and the Mission of the Church” </w:t>
      </w:r>
      <w:r w:rsidDel="00000000" w:rsidR="00000000" w:rsidRPr="00000000">
        <w:rPr>
          <w:sz w:val="24"/>
          <w:szCs w:val="24"/>
          <w:rtl w:val="0"/>
        </w:rPr>
        <w:t xml:space="preserve">(online)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Sam Emadi,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“How Ecclesiological Assumptions Shape Our Complementarianism” </w:t>
      </w:r>
      <w:r w:rsidDel="00000000" w:rsidR="00000000" w:rsidRPr="00000000">
        <w:rPr>
          <w:sz w:val="24"/>
          <w:szCs w:val="24"/>
          <w:rtl w:val="0"/>
        </w:rPr>
        <w:t xml:space="preserve">(online)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i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8053388</wp:posOffset>
            </wp:positionH>
            <wp:positionV relativeFrom="page">
              <wp:posOffset>412532</wp:posOffset>
            </wp:positionV>
            <wp:extent cx="1019175" cy="101917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CHBC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Core Seminars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tabs>
          <w:tab w:val="right" w:leader="none" w:pos="61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 and Woman in Christ</w:t>
      </w:r>
    </w:p>
    <w:p w:rsidR="00000000" w:rsidDel="00000000" w:rsidP="00000000" w:rsidRDefault="00000000" w:rsidRPr="00000000" w14:paraId="0000001E">
      <w:pPr>
        <w:widowControl w:val="1"/>
        <w:tabs>
          <w:tab w:val="right" w:leader="none" w:pos="6120"/>
        </w:tabs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Week 10</w:t>
      </w:r>
    </w:p>
    <w:p w:rsidR="00000000" w:rsidDel="00000000" w:rsidP="00000000" w:rsidRDefault="00000000" w:rsidRPr="00000000" w14:paraId="0000001F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The Church (Part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what kind of family is your father also your brother, and your brother also your co-worker? (Col 1:1, 1 Tim 1:2, Rom 16:21)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I. </w:t>
      </w:r>
      <w:r w:rsidDel="00000000" w:rsidR="00000000" w:rsidRPr="00000000">
        <w:rPr>
          <w:b w:val="1"/>
          <w:sz w:val="24"/>
          <w:szCs w:val="24"/>
          <w:rtl w:val="0"/>
        </w:rPr>
        <w:t xml:space="preserve">Men &amp; Women in the Church: Equal, Indispensable, Interdependent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Equal (Gal 3:23-29)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 and women are equally: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justified by faith (24)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 from the bondage of legalism (25)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children of God (26)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clothed with Christ (27)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possessed by Christ (29)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heirs of the promise (29)</w:t>
      </w:r>
    </w:p>
    <w:p w:rsidR="00000000" w:rsidDel="00000000" w:rsidP="00000000" w:rsidRDefault="00000000" w:rsidRPr="00000000" w14:paraId="00000030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Implication: men &amp; women each possess congregational authority</w:t>
      </w:r>
    </w:p>
    <w:p w:rsidR="00000000" w:rsidDel="00000000" w:rsidP="00000000" w:rsidRDefault="00000000" w:rsidRPr="00000000" w14:paraId="00000032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</w:t>
      </w:r>
    </w:p>
    <w:p w:rsidR="00000000" w:rsidDel="00000000" w:rsidP="00000000" w:rsidRDefault="00000000" w:rsidRPr="00000000" w14:paraId="00000033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…because men &amp; women equally have the Holy Spirit, they are:</w:t>
      </w:r>
    </w:p>
    <w:p w:rsidR="00000000" w:rsidDel="00000000" w:rsidP="00000000" w:rsidRDefault="00000000" w:rsidRPr="00000000" w14:paraId="00000034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6"/>
        </w:numPr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Indispensable and Interdependent (1 Cor 12:4-26)</w:t>
      </w:r>
    </w:p>
    <w:p w:rsidR="00000000" w:rsidDel="00000000" w:rsidP="00000000" w:rsidRDefault="00000000" w:rsidRPr="00000000" w14:paraId="00000036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Implication: men &amp; women together display God’s glory</w:t>
      </w:r>
    </w:p>
    <w:p w:rsidR="00000000" w:rsidDel="00000000" w:rsidP="00000000" w:rsidRDefault="00000000" w:rsidRPr="00000000" w14:paraId="00000038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  men &amp; women possess a “genius” for the good of all</w:t>
      </w:r>
    </w:p>
    <w:p w:rsidR="00000000" w:rsidDel="00000000" w:rsidP="00000000" w:rsidRDefault="00000000" w:rsidRPr="00000000" w14:paraId="0000003A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b w:val="1"/>
          <w:sz w:val="24"/>
          <w:szCs w:val="24"/>
          <w:rtl w:val="0"/>
        </w:rPr>
        <w:t xml:space="preserve">Masculine &amp; Feminine Genius in the Life of the Church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Critical caveat: the virtues are for both sexes, must be cultivated, and will be expressed differently.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Feminine Genius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“Woman naturally seeks to embrace that which is living, personal, and whole.” (Edith Stein)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Expressed in her ability to enhance, beautify, and humanize the realms or relationships she enters.</w:t>
      </w:r>
    </w:p>
    <w:p w:rsidR="00000000" w:rsidDel="00000000" w:rsidP="00000000" w:rsidRDefault="00000000" w:rsidRPr="00000000" w14:paraId="00000044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Connected to:</w:t>
      </w:r>
    </w:p>
    <w:p w:rsidR="00000000" w:rsidDel="00000000" w:rsidP="00000000" w:rsidRDefault="00000000" w:rsidRPr="00000000" w14:paraId="00000046">
      <w:pPr>
        <w:widowControl w:val="1"/>
        <w:numPr>
          <w:ilvl w:val="0"/>
          <w:numId w:val="4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sensitivity</w:t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4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generosity (Mark 1:31, Acts 16:15)</w:t>
      </w:r>
    </w:p>
    <w:p w:rsidR="00000000" w:rsidDel="00000000" w:rsidP="00000000" w:rsidRDefault="00000000" w:rsidRPr="00000000" w14:paraId="00000048">
      <w:pPr>
        <w:widowControl w:val="1"/>
        <w:numPr>
          <w:ilvl w:val="0"/>
          <w:numId w:val="4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fidelity, maternity, mercy, hospitality (1 Tim 5:9-10)</w:t>
      </w:r>
    </w:p>
    <w:p w:rsidR="00000000" w:rsidDel="00000000" w:rsidP="00000000" w:rsidRDefault="00000000" w:rsidRPr="00000000" w14:paraId="00000049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Question for the class: How have you seen sisters in the church enhance, beautify, and humanize our church?</w:t>
      </w:r>
    </w:p>
    <w:p w:rsidR="00000000" w:rsidDel="00000000" w:rsidP="00000000" w:rsidRDefault="00000000" w:rsidRPr="00000000" w14:paraId="0000004B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numPr>
          <w:ilvl w:val="0"/>
          <w:numId w:val="5"/>
        </w:numPr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Masculine Genius</w:t>
      </w:r>
    </w:p>
    <w:p w:rsidR="00000000" w:rsidDel="00000000" w:rsidP="00000000" w:rsidRDefault="00000000" w:rsidRPr="00000000" w14:paraId="0000004D">
      <w:pPr>
        <w:widowControl w:val="1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Dependent on self-control (Titus 2:2, 6)</w:t>
      </w:r>
    </w:p>
    <w:p w:rsidR="00000000" w:rsidDel="00000000" w:rsidP="00000000" w:rsidRDefault="00000000" w:rsidRPr="00000000" w14:paraId="0000004F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Expressed in his ability to courageously initiate &amp; lead amidst opposition (1 Cor 16:13), and aided by his natural concern for the “far world” versus the “near world.”</w:t>
      </w:r>
    </w:p>
    <w:p w:rsidR="00000000" w:rsidDel="00000000" w:rsidP="00000000" w:rsidRDefault="00000000" w:rsidRPr="00000000" w14:paraId="00000052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Question for the class: How have you benefited from male strength and courage in this church?</w:t>
      </w:r>
    </w:p>
    <w:p w:rsidR="00000000" w:rsidDel="00000000" w:rsidP="00000000" w:rsidRDefault="00000000" w:rsidRPr="00000000" w14:paraId="00000057">
      <w:pPr>
        <w:widowControl w:val="1"/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Men &amp; Women Co-Laboring in the Mission of the Church</w:t>
      </w:r>
    </w:p>
    <w:p w:rsidR="00000000" w:rsidDel="00000000" w:rsidP="00000000" w:rsidRDefault="00000000" w:rsidRPr="00000000" w14:paraId="00000059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Paul see women as the “wisdom teeth” of the church?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essential ministry of women in: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Philippi </w:t>
      </w:r>
      <w:r w:rsidDel="00000000" w:rsidR="00000000" w:rsidRPr="00000000">
        <w:rPr>
          <w:sz w:val="24"/>
          <w:szCs w:val="24"/>
          <w:rtl w:val="0"/>
        </w:rPr>
        <w:t xml:space="preserve">(Acts 16:40, Phil 4:2-3)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Laodicea </w:t>
      </w:r>
      <w:r w:rsidDel="00000000" w:rsidR="00000000" w:rsidRPr="00000000">
        <w:rPr>
          <w:sz w:val="24"/>
          <w:szCs w:val="24"/>
          <w:rtl w:val="0"/>
        </w:rPr>
        <w:t xml:space="preserve">(Col 4:15-16)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Rome </w:t>
      </w:r>
      <w:r w:rsidDel="00000000" w:rsidR="00000000" w:rsidRPr="00000000">
        <w:rPr>
          <w:sz w:val="24"/>
          <w:szCs w:val="24"/>
          <w:rtl w:val="0"/>
        </w:rPr>
        <w:t xml:space="preserve">(Rom 16:1-16)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“For the women of those days were more spirited than lions, sharing with the apostles their labors for the Gospel’s sake.” (John Chrysostom)</w:t>
      </w:r>
    </w:p>
    <w:p w:rsidR="00000000" w:rsidDel="00000000" w:rsidP="00000000" w:rsidRDefault="00000000" w:rsidRPr="00000000" w14:paraId="00000069">
      <w:pPr>
        <w:widowControl w:val="1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Applications &amp; Takeaways:</w:t>
      </w:r>
    </w:p>
    <w:p w:rsidR="00000000" w:rsidDel="00000000" w:rsidP="00000000" w:rsidRDefault="00000000" w:rsidRPr="00000000" w14:paraId="0000006B">
      <w:pPr>
        <w:widowControl w:val="1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encouragements:</w:t>
      </w:r>
    </w:p>
    <w:p w:rsidR="00000000" w:rsidDel="00000000" w:rsidP="00000000" w:rsidRDefault="00000000" w:rsidRPr="00000000" w14:paraId="0000006D">
      <w:pPr>
        <w:widowControl w:val="1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Brothers: see &amp; appreciate the “feminine genius” in the church, and learn!</w:t>
      </w:r>
    </w:p>
    <w:p w:rsidR="00000000" w:rsidDel="00000000" w:rsidP="00000000" w:rsidRDefault="00000000" w:rsidRPr="00000000" w14:paraId="0000006F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Sisters: consider giving more of your time, treasure, and talents to the work of missions &amp; evangelism.</w:t>
      </w:r>
    </w:p>
    <w:p w:rsidR="00000000" w:rsidDel="00000000" w:rsidP="00000000" w:rsidRDefault="00000000" w:rsidRPr="00000000" w14:paraId="00000073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Couples: Consider how marriage can </w:t>
      </w:r>
      <w:r w:rsidDel="00000000" w:rsidR="00000000" w:rsidRPr="00000000">
        <w:rPr>
          <w:i w:val="1"/>
          <w:sz w:val="24"/>
          <w:szCs w:val="24"/>
          <w:rtl w:val="0"/>
        </w:rPr>
        <w:t xml:space="preserve">enhance</w:t>
      </w:r>
      <w:r w:rsidDel="00000000" w:rsidR="00000000" w:rsidRPr="00000000">
        <w:rPr>
          <w:sz w:val="24"/>
          <w:szCs w:val="24"/>
          <w:rtl w:val="0"/>
        </w:rPr>
        <w:t xml:space="preserve"> your ministry, not detract from it.</w:t>
      </w:r>
    </w:p>
    <w:sectPr>
      <w:pgSz w:h="12240" w:w="15840" w:orient="landscape"/>
      <w:pgMar w:bottom="864" w:top="864" w:left="1080" w:right="821" w:header="720" w:footer="720"/>
      <w:pgNumType w:start="1"/>
      <w:cols w:equalWidth="0" w:num="2">
        <w:col w:space="900" w:w="6519.5"/>
        <w:col w:space="0" w:w="651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b w:val="1"/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yle1" w:customStyle="1">
    <w:name w:val="Style1"/>
    <w:basedOn w:val="Normal"/>
    <w:rPr>
      <w:sz w:val="24"/>
    </w:rPr>
  </w:style>
  <w:style w:type="paragraph" w:styleId="Style2" w:customStyle="1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color="auto" w:fill="000080" w:val="clear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 w:val="1"/>
    <w:pPr>
      <w:jc w:val="center"/>
    </w:pPr>
    <w:rPr>
      <w:b w:val="1"/>
      <w:i w:val="1"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 w:val="1"/>
    </w:pPr>
    <w:rPr>
      <w:i w:val="1"/>
      <w:sz w:val="24"/>
    </w:rPr>
  </w:style>
  <w:style w:type="paragraph" w:styleId="Verdana" w:customStyle="1">
    <w:name w:val="Verdana"/>
    <w:basedOn w:val="Normal"/>
    <w:pPr>
      <w:widowControl w:val="1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 w:val="1"/>
    <w:rsid w:val="000E1822"/>
    <w:pPr>
      <w:widowControl w:val="1"/>
      <w:overflowPunct w:val="1"/>
      <w:autoSpaceDE w:val="1"/>
      <w:autoSpaceDN w:val="1"/>
      <w:adjustRightInd w:val="1"/>
      <w:spacing w:after="160" w:line="259" w:lineRule="auto"/>
      <w:ind w:left="720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E0F23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A5181B"/>
    <w:rPr>
      <w:rFonts w:asciiTheme="minorHAnsi" w:cstheme="minorBidi" w:eastAsiaTheme="minorHAnsi" w:hAnsiTheme="minorHAnsi"/>
      <w:kern w:val="2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link w:val="FootnoteTextChar"/>
    <w:uiPriority w:val="99"/>
    <w:unhideWhenUsed w:val="1"/>
    <w:rsid w:val="00F31FB6"/>
    <w:pPr>
      <w:widowControl w:val="1"/>
      <w:overflowPunct w:val="1"/>
      <w:autoSpaceDE w:val="1"/>
      <w:autoSpaceDN w:val="1"/>
      <w:adjustRightInd w:val="1"/>
      <w:textAlignment w:val="auto"/>
    </w:pPr>
    <w:rPr>
      <w:rFonts w:asciiTheme="minorHAnsi" w:cstheme="minorBidi" w:eastAsiaTheme="minorHAnsi" w:hAnsiTheme="minorHAnsi"/>
      <w:kern w:val="2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F31FB6"/>
    <w:rPr>
      <w:rFonts w:asciiTheme="minorHAnsi" w:cstheme="minorBidi" w:eastAsiaTheme="minorHAnsi" w:hAnsiTheme="minorHAnsi"/>
      <w:kern w:val="2"/>
    </w:rPr>
  </w:style>
  <w:style w:type="character" w:styleId="FootnoteReference">
    <w:name w:val="footnote reference"/>
    <w:basedOn w:val="DefaultParagraphFont"/>
    <w:uiPriority w:val="99"/>
    <w:unhideWhenUsed w:val="1"/>
    <w:rsid w:val="00F31FB6"/>
    <w:rPr>
      <w:vertAlign w:val="superscript"/>
    </w:r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obby.jamieson@capbap.org" TargetMode="External"/><Relationship Id="rId8" Type="http://schemas.openxmlformats.org/officeDocument/2006/relationships/hyperlink" Target="mailto:paul.billings@campusoutreach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am362gLQUtGnbccDB9kjJ6reLw==">CgMxLjA4AHIhMXlmTGt6ZDRQUXNESGw0Tko4RjZFclM4elF4VXl0M0hC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2023-11-17T19:49:00Z</dcterms:created>
  <dc:creator>T730XCDT/2.1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  <property fmtid="{D5CDD505-2E9C-101B-9397-08002B2CF9AE}" pid="3" name="DocXDocID">
    <vt:lpwstr>Block DocID</vt:lpwstr>
  </property>
</Properties>
</file>